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C12EA" w:rsidRDefault="00C2649D" w:rsidP="006019C2">
                <w:pPr>
                  <w:rPr>
                    <w:rFonts w:ascii="Arial (W1)" w:hAnsi="Arial (W1)"/>
                    <w:b/>
                    <w:bCs/>
                    <w:noProof w:val="0"/>
                    <w:sz w:val="28"/>
                    <w:szCs w:val="28"/>
                  </w:rPr>
                </w:pPr>
                <w:r>
                  <w:rPr>
                    <w:rFonts w:hint="cs"/>
                    <w:b/>
                    <w:bCs/>
                    <w:noProof w:val="0"/>
                    <w:sz w:val="28"/>
                    <w:rtl/>
                  </w:rPr>
                  <w:t>מערער</w:t>
                </w:r>
                <w:r w:rsidR="006019C2">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019C2" w:rsidRDefault="00157A69" w:rsidP="00EA7600">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FB3C14">
                  <w:rPr>
                    <w:rFonts w:hint="cs"/>
                    <w:b/>
                    <w:bCs/>
                    <w:noProof w:val="0"/>
                    <w:sz w:val="28"/>
                    <w:rtl/>
                  </w:rPr>
                  <w:t>מ</w:t>
                </w:r>
                <w:r w:rsidR="00EA7600">
                  <w:rPr>
                    <w:rFonts w:hint="cs"/>
                    <w:b/>
                    <w:bCs/>
                    <w:noProof w:val="0"/>
                    <w:sz w:val="28"/>
                    <w:rtl/>
                  </w:rPr>
                  <w:t xml:space="preserve">. ל. </w:t>
                </w:r>
              </w:sdtContent>
            </w:sdt>
          </w:p>
          <w:p w:rsidR="006816EC" w:rsidRDefault="00E44DDF" w:rsidP="006019C2">
            <w:pPr>
              <w:rPr>
                <w:rFonts w:ascii="Arial (W1)" w:hAnsi="Arial (W1)"/>
                <w:b/>
                <w:bCs/>
                <w:noProof w:val="0"/>
                <w:sz w:val="28"/>
                <w:szCs w:val="28"/>
              </w:rPr>
            </w:pPr>
            <w:r w:rsidRPr="00EA7600">
              <w:rPr>
                <w:rFonts w:ascii="Arial" w:hAnsi="Arial"/>
                <w:b/>
                <w:bCs/>
                <w:noProof w:val="0"/>
                <w:rtl/>
              </w:rPr>
              <w:t>ע"י ב"כ עו"ד</w:t>
            </w:r>
            <w:r w:rsidR="006019C2" w:rsidRPr="00EA7600">
              <w:rPr>
                <w:rFonts w:ascii="Arial" w:hAnsi="Arial" w:hint="cs"/>
                <w:b/>
                <w:bCs/>
                <w:noProof w:val="0"/>
                <w:rtl/>
              </w:rPr>
              <w:t xml:space="preserve"> אבשלום טל</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157A69" w:rsidP="006019C2">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w:t>
                </w:r>
              </w:sdtContent>
            </w:sdt>
          </w:p>
        </w:tc>
        <w:tc>
          <w:tcPr>
            <w:tcW w:w="5571" w:type="dxa"/>
          </w:tcPr>
          <w:p w:rsidR="006816EC" w:rsidRDefault="00157A69" w:rsidP="00EA7600">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FB3C14">
                  <w:rPr>
                    <w:rFonts w:hint="cs"/>
                    <w:b/>
                    <w:bCs/>
                    <w:noProof w:val="0"/>
                    <w:sz w:val="28"/>
                    <w:rtl/>
                  </w:rPr>
                  <w:t>ש</w:t>
                </w:r>
                <w:r w:rsidR="00EA7600">
                  <w:rPr>
                    <w:rFonts w:hint="cs"/>
                    <w:b/>
                    <w:bCs/>
                    <w:noProof w:val="0"/>
                    <w:sz w:val="28"/>
                    <w:rtl/>
                  </w:rPr>
                  <w:t xml:space="preserve">. ל. </w:t>
                </w:r>
              </w:sdtContent>
            </w:sdt>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6019C2" w:rsidRDefault="006019C2" w:rsidP="006019C2">
            <w:pPr>
              <w:bidi w:val="0"/>
              <w:jc w:val="center"/>
              <w:rPr>
                <w:rFonts w:ascii="Arial" w:hAnsi="Arial"/>
                <w:b/>
                <w:bCs/>
                <w:noProof w:val="0"/>
                <w:sz w:val="28"/>
                <w:szCs w:val="28"/>
                <w:u w:val="single"/>
              </w:rPr>
            </w:pPr>
          </w:p>
        </w:tc>
      </w:tr>
    </w:tbl>
    <w:p w:rsidR="006019C2" w:rsidRDefault="006019C2" w:rsidP="00C2649D">
      <w:pPr>
        <w:spacing w:line="360" w:lineRule="auto"/>
        <w:jc w:val="both"/>
        <w:rPr>
          <w:rFonts w:ascii="Arial" w:hAnsi="Arial"/>
          <w:noProof w:val="0"/>
          <w:rtl/>
        </w:rPr>
      </w:pPr>
      <w:r>
        <w:rPr>
          <w:rFonts w:ascii="Arial" w:hAnsi="Arial" w:hint="cs"/>
          <w:noProof w:val="0"/>
          <w:rtl/>
        </w:rPr>
        <w:t>לפני ערעור על החלטת  רשם ההוצל"פ בראשל"צ (כב' הרשם נתנאל נאמן) מיום 13.5.24 ביחס לדחיית בקשת</w:t>
      </w:r>
      <w:r w:rsidR="00C2649D">
        <w:rPr>
          <w:rFonts w:ascii="Arial" w:hAnsi="Arial" w:hint="cs"/>
          <w:noProof w:val="0"/>
          <w:rtl/>
        </w:rPr>
        <w:t xml:space="preserve"> המערערת </w:t>
      </w:r>
      <w:r>
        <w:rPr>
          <w:rFonts w:ascii="Arial" w:hAnsi="Arial" w:hint="cs"/>
          <w:noProof w:val="0"/>
          <w:rtl/>
        </w:rPr>
        <w:t>להגדלת קרן החוב בתיק בגין מזונות שוטפים לתקופה שעד חודש 3/22 (כולל).</w:t>
      </w:r>
    </w:p>
    <w:p w:rsidR="006019C2" w:rsidRDefault="006019C2" w:rsidP="006019C2">
      <w:pPr>
        <w:spacing w:line="360" w:lineRule="auto"/>
        <w:jc w:val="both"/>
        <w:rPr>
          <w:rFonts w:ascii="Arial" w:hAnsi="Arial"/>
          <w:noProof w:val="0"/>
          <w:rtl/>
        </w:rPr>
      </w:pPr>
      <w:r>
        <w:rPr>
          <w:rFonts w:ascii="Arial" w:hAnsi="Arial" w:hint="cs"/>
          <w:noProof w:val="0"/>
          <w:rtl/>
        </w:rPr>
        <w:t>כב' הרשם נימק החלטתו על יסוד סעיף 11(ב) לחוק לתיקון דיני המשפחה (מזונות), התשי"ט-1959, כי מדובר ברכיבי מזונות שלא נדרשו לגבייתם למעלה משנתיים ממועד הדרישה</w:t>
      </w:r>
      <w:r w:rsidR="00E347D8">
        <w:rPr>
          <w:rFonts w:ascii="Arial" w:hAnsi="Arial" w:hint="cs"/>
          <w:noProof w:val="0"/>
          <w:rtl/>
        </w:rPr>
        <w:t>. נקבע כי אינו מאשר את הגדלת החוב בתיק בגין אותם חודשים אלא לאחר שינתן אישור מתאים מביהמ"ש.</w:t>
      </w:r>
    </w:p>
    <w:p w:rsidR="00E347D8" w:rsidRDefault="00E347D8" w:rsidP="006019C2">
      <w:pPr>
        <w:spacing w:line="360" w:lineRule="auto"/>
        <w:jc w:val="both"/>
        <w:rPr>
          <w:rFonts w:ascii="Arial" w:hAnsi="Arial"/>
          <w:noProof w:val="0"/>
          <w:rtl/>
        </w:rPr>
      </w:pPr>
    </w:p>
    <w:p w:rsidR="00E347D8" w:rsidRDefault="00E347D8" w:rsidP="00C2649D">
      <w:pPr>
        <w:spacing w:line="360" w:lineRule="auto"/>
        <w:jc w:val="both"/>
        <w:rPr>
          <w:rFonts w:ascii="Arial" w:hAnsi="Arial"/>
          <w:noProof w:val="0"/>
          <w:rtl/>
        </w:rPr>
      </w:pPr>
      <w:r>
        <w:rPr>
          <w:rFonts w:ascii="Arial" w:hAnsi="Arial" w:hint="cs"/>
          <w:b/>
          <w:bCs/>
          <w:noProof w:val="0"/>
          <w:rtl/>
        </w:rPr>
        <w:t>לטענת המערערת -</w:t>
      </w:r>
      <w:r>
        <w:rPr>
          <w:rFonts w:ascii="Arial" w:hAnsi="Arial" w:hint="cs"/>
          <w:noProof w:val="0"/>
          <w:rtl/>
        </w:rPr>
        <w:t xml:space="preserve"> שגה כב' הרשם בהחלטתו בשניים</w:t>
      </w:r>
      <w:r w:rsidR="00C2649D">
        <w:rPr>
          <w:rFonts w:ascii="Arial" w:hAnsi="Arial" w:hint="cs"/>
          <w:noProof w:val="0"/>
          <w:rtl/>
        </w:rPr>
        <w:t>.</w:t>
      </w:r>
    </w:p>
    <w:p w:rsidR="00E347D8" w:rsidRDefault="00E347D8" w:rsidP="00C2649D">
      <w:pPr>
        <w:spacing w:line="360" w:lineRule="auto"/>
        <w:jc w:val="both"/>
        <w:rPr>
          <w:rFonts w:ascii="Arial" w:hAnsi="Arial"/>
          <w:noProof w:val="0"/>
          <w:rtl/>
        </w:rPr>
      </w:pPr>
      <w:r>
        <w:rPr>
          <w:rFonts w:ascii="Arial" w:hAnsi="Arial" w:hint="cs"/>
          <w:noProof w:val="0"/>
          <w:rtl/>
        </w:rPr>
        <w:t xml:space="preserve">האחד </w:t>
      </w:r>
      <w:r>
        <w:rPr>
          <w:rFonts w:ascii="Arial" w:hAnsi="Arial"/>
          <w:noProof w:val="0"/>
          <w:rtl/>
        </w:rPr>
        <w:t>–</w:t>
      </w:r>
      <w:r>
        <w:rPr>
          <w:rFonts w:ascii="Arial" w:hAnsi="Arial" w:hint="cs"/>
          <w:noProof w:val="0"/>
          <w:rtl/>
        </w:rPr>
        <w:t xml:space="preserve"> טוענת כי לאור הלכת ביהמ"ש העליון ופסקי דין מחוזיים</w:t>
      </w:r>
      <w:r w:rsidR="00C2649D">
        <w:rPr>
          <w:rFonts w:ascii="Arial" w:hAnsi="Arial" w:hint="cs"/>
          <w:noProof w:val="0"/>
          <w:rtl/>
        </w:rPr>
        <w:t>,</w:t>
      </w:r>
      <w:r>
        <w:rPr>
          <w:rFonts w:ascii="Arial" w:hAnsi="Arial" w:hint="cs"/>
          <w:noProof w:val="0"/>
          <w:rtl/>
        </w:rPr>
        <w:t xml:space="preserve"> סעיף 11(ב) לחוק המזונות לא חל על מי שיש לו דין אישי ומתוך כך שגה כב</w:t>
      </w:r>
      <w:r w:rsidR="00C2649D">
        <w:rPr>
          <w:rFonts w:ascii="Arial" w:hAnsi="Arial" w:hint="cs"/>
          <w:noProof w:val="0"/>
          <w:rtl/>
        </w:rPr>
        <w:t>'</w:t>
      </w:r>
      <w:r>
        <w:rPr>
          <w:rFonts w:ascii="Arial" w:hAnsi="Arial" w:hint="cs"/>
          <w:noProof w:val="0"/>
          <w:rtl/>
        </w:rPr>
        <w:t xml:space="preserve"> הרשם בהסתמך על סעיף זה בעניינם של הצדדים.</w:t>
      </w:r>
    </w:p>
    <w:p w:rsidR="00E347D8" w:rsidRPr="00E347D8" w:rsidRDefault="00E347D8" w:rsidP="00C2649D">
      <w:pPr>
        <w:spacing w:line="360" w:lineRule="auto"/>
        <w:jc w:val="both"/>
        <w:rPr>
          <w:rFonts w:ascii="Arial" w:hAnsi="Arial"/>
          <w:noProof w:val="0"/>
          <w:rtl/>
        </w:rPr>
      </w:pPr>
      <w:r>
        <w:rPr>
          <w:rFonts w:ascii="Arial" w:hAnsi="Arial" w:hint="cs"/>
          <w:noProof w:val="0"/>
          <w:rtl/>
        </w:rPr>
        <w:t xml:space="preserve">השני </w:t>
      </w:r>
      <w:r>
        <w:rPr>
          <w:rFonts w:ascii="Arial" w:hAnsi="Arial"/>
          <w:noProof w:val="0"/>
          <w:rtl/>
        </w:rPr>
        <w:t>–</w:t>
      </w:r>
      <w:r>
        <w:rPr>
          <w:rFonts w:ascii="Arial" w:hAnsi="Arial" w:hint="cs"/>
          <w:noProof w:val="0"/>
          <w:rtl/>
        </w:rPr>
        <w:t xml:space="preserve"> ככל שיקבע כי הסעיף חל על מי שיש לו דין אישי, בנסיבות העניין לא ניתן היה לקבוע כי </w:t>
      </w:r>
      <w:r w:rsidR="00C2649D">
        <w:rPr>
          <w:rFonts w:ascii="Arial" w:hAnsi="Arial" w:hint="cs"/>
          <w:noProof w:val="0"/>
          <w:rtl/>
        </w:rPr>
        <w:t xml:space="preserve">לא </w:t>
      </w:r>
      <w:r>
        <w:rPr>
          <w:rFonts w:ascii="Arial" w:hAnsi="Arial" w:hint="cs"/>
          <w:noProof w:val="0"/>
          <w:rtl/>
        </w:rPr>
        <w:t>פעלה לגביית המזונות לאחר תקופה העולה על שנתיים</w:t>
      </w:r>
      <w:r w:rsidR="00C2649D">
        <w:rPr>
          <w:rFonts w:ascii="Arial" w:hAnsi="Arial" w:hint="cs"/>
          <w:noProof w:val="0"/>
          <w:rtl/>
        </w:rPr>
        <w:t>, שכן פעלה כבר ממועד סמוך לאחר פסק הדין.</w:t>
      </w:r>
    </w:p>
    <w:p w:rsidR="00E347D8" w:rsidRDefault="00E347D8" w:rsidP="006019C2">
      <w:pPr>
        <w:spacing w:line="360" w:lineRule="auto"/>
        <w:jc w:val="both"/>
        <w:rPr>
          <w:rFonts w:ascii="Arial" w:hAnsi="Arial"/>
          <w:noProof w:val="0"/>
          <w:rtl/>
        </w:rPr>
      </w:pPr>
    </w:p>
    <w:p w:rsidR="00C2649D" w:rsidRDefault="00C2649D" w:rsidP="006019C2">
      <w:pPr>
        <w:spacing w:line="360" w:lineRule="auto"/>
        <w:jc w:val="both"/>
        <w:rPr>
          <w:rFonts w:ascii="Arial" w:hAnsi="Arial"/>
          <w:noProof w:val="0"/>
          <w:rtl/>
        </w:rPr>
      </w:pPr>
      <w:r>
        <w:rPr>
          <w:rFonts w:ascii="Arial" w:hAnsi="Arial" w:hint="cs"/>
          <w:noProof w:val="0"/>
          <w:rtl/>
        </w:rPr>
        <w:lastRenderedPageBreak/>
        <w:t>כתב הערעור הומצא לתגובת המשיב, אשר בחר שלא להגיש תגובה.</w:t>
      </w:r>
    </w:p>
    <w:p w:rsidR="00C2649D" w:rsidRDefault="00C2649D" w:rsidP="006019C2">
      <w:pPr>
        <w:spacing w:line="360" w:lineRule="auto"/>
        <w:jc w:val="both"/>
        <w:rPr>
          <w:rFonts w:ascii="Arial" w:hAnsi="Arial"/>
          <w:noProof w:val="0"/>
          <w:rtl/>
        </w:rPr>
      </w:pPr>
      <w:r>
        <w:rPr>
          <w:rFonts w:ascii="Arial" w:hAnsi="Arial" w:hint="cs"/>
          <w:noProof w:val="0"/>
          <w:rtl/>
        </w:rPr>
        <w:t>מכאן פסק הדין על יסוד כתב הערעור והמצורף לו.</w:t>
      </w:r>
    </w:p>
    <w:p w:rsidR="00C2649D" w:rsidRDefault="00C2649D" w:rsidP="00C2649D">
      <w:pPr>
        <w:spacing w:line="360" w:lineRule="auto"/>
        <w:jc w:val="both"/>
        <w:rPr>
          <w:rFonts w:ascii="Arial" w:hAnsi="Arial"/>
          <w:b/>
          <w:bCs/>
          <w:noProof w:val="0"/>
          <w:u w:val="single"/>
          <w:rtl/>
        </w:rPr>
      </w:pPr>
    </w:p>
    <w:p w:rsidR="00C2649D" w:rsidRPr="00C2649D" w:rsidRDefault="00C2649D" w:rsidP="00C2649D">
      <w:pPr>
        <w:spacing w:line="360" w:lineRule="auto"/>
        <w:jc w:val="both"/>
        <w:rPr>
          <w:rFonts w:ascii="Arial" w:hAnsi="Arial"/>
          <w:b/>
          <w:bCs/>
          <w:noProof w:val="0"/>
          <w:u w:val="single"/>
          <w:rtl/>
        </w:rPr>
      </w:pPr>
      <w:r w:rsidRPr="00C2649D">
        <w:rPr>
          <w:rFonts w:ascii="Arial" w:hAnsi="Arial" w:hint="cs"/>
          <w:b/>
          <w:bCs/>
          <w:noProof w:val="0"/>
          <w:u w:val="single"/>
          <w:rtl/>
        </w:rPr>
        <w:t>יאמר כבר כי מצאתי לקבל הערעור</w:t>
      </w:r>
      <w:r w:rsidR="00042165">
        <w:rPr>
          <w:rFonts w:ascii="Arial" w:hAnsi="Arial" w:hint="cs"/>
          <w:b/>
          <w:bCs/>
          <w:noProof w:val="0"/>
          <w:u w:val="single"/>
          <w:rtl/>
        </w:rPr>
        <w:t>, מהנימוקים הבאים -</w:t>
      </w:r>
    </w:p>
    <w:p w:rsidR="00C2649D" w:rsidRDefault="00C2649D" w:rsidP="00C2649D">
      <w:pPr>
        <w:spacing w:line="360" w:lineRule="auto"/>
        <w:jc w:val="both"/>
        <w:rPr>
          <w:rFonts w:ascii="Arial" w:hAnsi="Arial"/>
          <w:noProof w:val="0"/>
          <w:rtl/>
        </w:rPr>
      </w:pPr>
    </w:p>
    <w:p w:rsidR="00E347D8" w:rsidRDefault="00E347D8" w:rsidP="006019C2">
      <w:pPr>
        <w:spacing w:line="360" w:lineRule="auto"/>
        <w:jc w:val="both"/>
        <w:rPr>
          <w:rFonts w:ascii="Arial" w:hAnsi="Arial"/>
          <w:noProof w:val="0"/>
          <w:rtl/>
        </w:rPr>
      </w:pPr>
      <w:r>
        <w:rPr>
          <w:rFonts w:ascii="Arial" w:hAnsi="Arial" w:hint="cs"/>
          <w:noProof w:val="0"/>
          <w:rtl/>
        </w:rPr>
        <w:t>מכתב הערעור עולה כדלקמן:</w:t>
      </w:r>
    </w:p>
    <w:p w:rsidR="008773E2" w:rsidRPr="00C2649D" w:rsidRDefault="00E347D8" w:rsidP="00D93B96">
      <w:pPr>
        <w:pStyle w:val="ad"/>
        <w:numPr>
          <w:ilvl w:val="0"/>
          <w:numId w:val="1"/>
        </w:numPr>
        <w:spacing w:line="360" w:lineRule="auto"/>
        <w:jc w:val="both"/>
        <w:rPr>
          <w:rFonts w:ascii="Arial" w:hAnsi="Arial"/>
          <w:noProof w:val="0"/>
          <w:rtl/>
        </w:rPr>
      </w:pPr>
      <w:r w:rsidRPr="00C2649D">
        <w:rPr>
          <w:rFonts w:ascii="Arial" w:hAnsi="Arial" w:hint="cs"/>
          <w:noProof w:val="0"/>
          <w:rtl/>
        </w:rPr>
        <w:t>פסק הדין למזונות המבוצע בתיק ההוצל"פ ניתן על ידי כב' ביה"ד הרבני</w:t>
      </w:r>
      <w:r w:rsidR="008773E2" w:rsidRPr="00C2649D">
        <w:rPr>
          <w:rFonts w:ascii="Arial" w:hAnsi="Arial" w:hint="cs"/>
          <w:noProof w:val="0"/>
          <w:rtl/>
        </w:rPr>
        <w:t xml:space="preserve"> בשנת 2010 במסגרת אישור הסכם גירושין בין הצדדים.</w:t>
      </w:r>
      <w:r w:rsidR="00C2649D" w:rsidRPr="00C2649D">
        <w:rPr>
          <w:rFonts w:ascii="Arial" w:hAnsi="Arial" w:hint="cs"/>
          <w:noProof w:val="0"/>
          <w:rtl/>
        </w:rPr>
        <w:t xml:space="preserve"> </w:t>
      </w:r>
      <w:r w:rsidR="008773E2" w:rsidRPr="00C2649D">
        <w:rPr>
          <w:rFonts w:ascii="Arial" w:hAnsi="Arial" w:hint="cs"/>
          <w:noProof w:val="0"/>
          <w:rtl/>
        </w:rPr>
        <w:t>תיק ההוצל"פ נפתח על ידי המערערת לביצוע פסק הדין בחודש 3/11, והמערערת פעלה בכל האמצעים הניתנים לגביית המזונות.</w:t>
      </w:r>
    </w:p>
    <w:p w:rsidR="008773E2" w:rsidRDefault="008773E2" w:rsidP="008773E2">
      <w:pPr>
        <w:pStyle w:val="ad"/>
        <w:numPr>
          <w:ilvl w:val="0"/>
          <w:numId w:val="1"/>
        </w:numPr>
        <w:spacing w:line="360" w:lineRule="auto"/>
        <w:jc w:val="both"/>
        <w:rPr>
          <w:rFonts w:ascii="Arial" w:hAnsi="Arial"/>
          <w:noProof w:val="0"/>
        </w:rPr>
      </w:pPr>
      <w:r>
        <w:rPr>
          <w:rFonts w:ascii="Arial" w:hAnsi="Arial" w:hint="cs"/>
          <w:noProof w:val="0"/>
          <w:rtl/>
        </w:rPr>
        <w:t>ביום 12.6.12 ניתנה החלטת כב' בימ"ש לענייני משפחה בב</w:t>
      </w:r>
      <w:r w:rsidR="00C2649D">
        <w:rPr>
          <w:rFonts w:ascii="Arial" w:hAnsi="Arial" w:hint="cs"/>
          <w:noProof w:val="0"/>
          <w:rtl/>
        </w:rPr>
        <w:t xml:space="preserve">קשת המשיב להפחתת סכום המזונות, על יסוד </w:t>
      </w:r>
      <w:r>
        <w:rPr>
          <w:rFonts w:ascii="Arial" w:hAnsi="Arial" w:hint="cs"/>
          <w:noProof w:val="0"/>
          <w:rtl/>
        </w:rPr>
        <w:t>הסכמת הצדדים. נקבע כי יופחת הסכום אך אם לא ישולם בפרק זמן העולה על 3 חודשים, תתבטל ההסכמה ויחול פסק הדין המקורי.</w:t>
      </w:r>
    </w:p>
    <w:p w:rsidR="008773E2" w:rsidRDefault="008773E2" w:rsidP="008773E2">
      <w:pPr>
        <w:pStyle w:val="ad"/>
        <w:spacing w:line="360" w:lineRule="auto"/>
        <w:jc w:val="both"/>
        <w:rPr>
          <w:rFonts w:ascii="Arial" w:hAnsi="Arial"/>
          <w:noProof w:val="0"/>
        </w:rPr>
      </w:pPr>
      <w:r>
        <w:rPr>
          <w:rFonts w:ascii="Arial" w:hAnsi="Arial" w:hint="cs"/>
          <w:noProof w:val="0"/>
          <w:rtl/>
        </w:rPr>
        <w:t>המשיב לא עמד בהסכמות, לא שילם חודשיים לאחר ההחלטה אלא רק ביום 9/12, לאחר מכן ביום 11/12 ומאז לא שילם דבר עד חודש 9/15.</w:t>
      </w:r>
    </w:p>
    <w:p w:rsidR="008773E2" w:rsidRDefault="00C2649D" w:rsidP="00042165">
      <w:pPr>
        <w:pStyle w:val="ad"/>
        <w:numPr>
          <w:ilvl w:val="0"/>
          <w:numId w:val="1"/>
        </w:numPr>
        <w:spacing w:line="360" w:lineRule="auto"/>
        <w:jc w:val="both"/>
        <w:rPr>
          <w:rFonts w:ascii="Arial" w:hAnsi="Arial"/>
          <w:noProof w:val="0"/>
        </w:rPr>
      </w:pPr>
      <w:r>
        <w:rPr>
          <w:rFonts w:ascii="Arial" w:hAnsi="Arial" w:hint="cs"/>
          <w:noProof w:val="0"/>
          <w:rtl/>
        </w:rPr>
        <w:t>המשיב התחייב כלפי המערערת לה</w:t>
      </w:r>
      <w:r w:rsidR="008773E2">
        <w:rPr>
          <w:rFonts w:ascii="Arial" w:hAnsi="Arial" w:hint="cs"/>
          <w:noProof w:val="0"/>
          <w:rtl/>
        </w:rPr>
        <w:t>גיע להסדר חוב המזונות</w:t>
      </w:r>
      <w:r>
        <w:rPr>
          <w:rFonts w:ascii="Arial" w:hAnsi="Arial" w:hint="cs"/>
          <w:noProof w:val="0"/>
          <w:rtl/>
        </w:rPr>
        <w:t xml:space="preserve"> מתוך כספי ביטוח שעתיד לקבל. על סמך התחייבותו </w:t>
      </w:r>
      <w:r w:rsidR="008773E2">
        <w:rPr>
          <w:rFonts w:ascii="Arial" w:hAnsi="Arial" w:hint="cs"/>
          <w:noProof w:val="0"/>
          <w:rtl/>
        </w:rPr>
        <w:t xml:space="preserve">ביקשה </w:t>
      </w:r>
      <w:r>
        <w:rPr>
          <w:rFonts w:ascii="Arial" w:hAnsi="Arial" w:hint="cs"/>
          <w:noProof w:val="0"/>
          <w:rtl/>
        </w:rPr>
        <w:t xml:space="preserve">המערערת </w:t>
      </w:r>
      <w:r w:rsidR="008773E2">
        <w:rPr>
          <w:rFonts w:ascii="Arial" w:hAnsi="Arial" w:hint="cs"/>
          <w:noProof w:val="0"/>
          <w:rtl/>
        </w:rPr>
        <w:t>לעצור את שפעול המזונות</w:t>
      </w:r>
      <w:r>
        <w:rPr>
          <w:rFonts w:ascii="Arial" w:hAnsi="Arial" w:hint="cs"/>
          <w:noProof w:val="0"/>
          <w:rtl/>
        </w:rPr>
        <w:t xml:space="preserve"> ולב</w:t>
      </w:r>
      <w:r w:rsidR="00912543">
        <w:rPr>
          <w:rFonts w:ascii="Arial" w:hAnsi="Arial" w:hint="cs"/>
          <w:noProof w:val="0"/>
          <w:rtl/>
        </w:rPr>
        <w:t xml:space="preserve">טל ההליכים בתיק על מנת לאפשר למשיב לקבל כספי ביטוח לצורך תשלום החוב. </w:t>
      </w:r>
      <w:r w:rsidR="00042165">
        <w:rPr>
          <w:rFonts w:ascii="Arial" w:hAnsi="Arial" w:hint="cs"/>
          <w:noProof w:val="0"/>
          <w:rtl/>
        </w:rPr>
        <w:t xml:space="preserve">התיק נותר פתוח. </w:t>
      </w:r>
      <w:r w:rsidR="00912543">
        <w:rPr>
          <w:rFonts w:ascii="Arial" w:hAnsi="Arial" w:hint="cs"/>
          <w:noProof w:val="0"/>
          <w:rtl/>
        </w:rPr>
        <w:t xml:space="preserve">בדיעבד הוברר </w:t>
      </w:r>
      <w:r w:rsidR="00042165">
        <w:rPr>
          <w:rFonts w:ascii="Arial" w:hAnsi="Arial" w:hint="cs"/>
          <w:noProof w:val="0"/>
          <w:rtl/>
        </w:rPr>
        <w:t xml:space="preserve">לה כי המשיב </w:t>
      </w:r>
      <w:r w:rsidR="00912543">
        <w:rPr>
          <w:rFonts w:ascii="Arial" w:hAnsi="Arial" w:hint="cs"/>
          <w:noProof w:val="0"/>
          <w:rtl/>
        </w:rPr>
        <w:t>קיבל כספים מהביטוח ולא פרע את חובו.</w:t>
      </w:r>
    </w:p>
    <w:p w:rsidR="00912543" w:rsidRDefault="00912543" w:rsidP="00C2649D">
      <w:pPr>
        <w:pStyle w:val="ad"/>
        <w:numPr>
          <w:ilvl w:val="0"/>
          <w:numId w:val="1"/>
        </w:numPr>
        <w:spacing w:line="360" w:lineRule="auto"/>
        <w:jc w:val="both"/>
        <w:rPr>
          <w:rFonts w:ascii="Arial" w:hAnsi="Arial"/>
          <w:noProof w:val="0"/>
        </w:rPr>
      </w:pPr>
      <w:r>
        <w:rPr>
          <w:rFonts w:ascii="Arial" w:hAnsi="Arial" w:hint="cs"/>
          <w:noProof w:val="0"/>
          <w:rtl/>
        </w:rPr>
        <w:t xml:space="preserve">מחודש 12/16 החל </w:t>
      </w:r>
      <w:r w:rsidR="00C2649D">
        <w:rPr>
          <w:rFonts w:ascii="Arial" w:hAnsi="Arial" w:hint="cs"/>
          <w:noProof w:val="0"/>
          <w:rtl/>
        </w:rPr>
        <w:t>המשיב לשלם מזונות לא באופן מלא, תוך שמפציר בה להמתין עד שיקבל כספי</w:t>
      </w:r>
      <w:r>
        <w:rPr>
          <w:rFonts w:ascii="Arial" w:hAnsi="Arial" w:hint="cs"/>
          <w:noProof w:val="0"/>
          <w:rtl/>
        </w:rPr>
        <w:t xml:space="preserve"> </w:t>
      </w:r>
      <w:r w:rsidR="00C2649D">
        <w:rPr>
          <w:rFonts w:ascii="Arial" w:hAnsi="Arial" w:hint="cs"/>
          <w:noProof w:val="0"/>
          <w:rtl/>
        </w:rPr>
        <w:t>הביטוח וישלם.</w:t>
      </w:r>
    </w:p>
    <w:p w:rsidR="00C2649D" w:rsidRDefault="00C2649D" w:rsidP="00C2649D">
      <w:pPr>
        <w:pStyle w:val="ad"/>
        <w:numPr>
          <w:ilvl w:val="0"/>
          <w:numId w:val="1"/>
        </w:numPr>
        <w:spacing w:line="360" w:lineRule="auto"/>
        <w:jc w:val="both"/>
        <w:rPr>
          <w:rFonts w:ascii="Arial" w:hAnsi="Arial"/>
          <w:noProof w:val="0"/>
        </w:rPr>
      </w:pPr>
      <w:r>
        <w:rPr>
          <w:rFonts w:ascii="Arial" w:hAnsi="Arial" w:hint="cs"/>
          <w:noProof w:val="0"/>
          <w:rtl/>
        </w:rPr>
        <w:lastRenderedPageBreak/>
        <w:t>בשנת 2022 הגישה המערערת בקשה לשפעול ההליכים לאחר שנודע לה כי המשיב עתיד לקבל כספים. עיכוב הכספים בתיק בוטל.</w:t>
      </w:r>
    </w:p>
    <w:p w:rsidR="00C2649D" w:rsidRDefault="00C2649D" w:rsidP="00C2649D">
      <w:pPr>
        <w:pStyle w:val="ad"/>
        <w:numPr>
          <w:ilvl w:val="0"/>
          <w:numId w:val="1"/>
        </w:numPr>
        <w:spacing w:line="360" w:lineRule="auto"/>
        <w:jc w:val="both"/>
        <w:rPr>
          <w:rFonts w:ascii="Arial" w:hAnsi="Arial"/>
          <w:noProof w:val="0"/>
        </w:rPr>
      </w:pPr>
      <w:r>
        <w:rPr>
          <w:rFonts w:ascii="Arial" w:hAnsi="Arial" w:hint="cs"/>
          <w:noProof w:val="0"/>
          <w:rtl/>
        </w:rPr>
        <w:t>ביום 9.4.24 הגישה בקשה להגדלת קרן החוב בגין התקופה מחודש 7/12, בגינה ניתנה ההחלטה נשוא הערעור.</w:t>
      </w:r>
    </w:p>
    <w:p w:rsidR="00C2649D" w:rsidRDefault="00C2649D" w:rsidP="00C2649D">
      <w:pPr>
        <w:spacing w:line="360" w:lineRule="auto"/>
        <w:jc w:val="both"/>
        <w:rPr>
          <w:rFonts w:ascii="Arial" w:hAnsi="Arial"/>
          <w:noProof w:val="0"/>
          <w:rtl/>
        </w:rPr>
      </w:pPr>
    </w:p>
    <w:p w:rsidR="00C2649D" w:rsidRDefault="00C2649D" w:rsidP="00042165">
      <w:pPr>
        <w:spacing w:line="360" w:lineRule="auto"/>
        <w:jc w:val="both"/>
        <w:rPr>
          <w:rFonts w:ascii="Arial" w:hAnsi="Arial"/>
          <w:noProof w:val="0"/>
          <w:rtl/>
        </w:rPr>
      </w:pPr>
      <w:r>
        <w:rPr>
          <w:rFonts w:ascii="Arial" w:hAnsi="Arial" w:hint="cs"/>
          <w:noProof w:val="0"/>
          <w:rtl/>
        </w:rPr>
        <w:t>מהנטען, אשר לא נסתר</w:t>
      </w:r>
      <w:r w:rsidR="00042165">
        <w:rPr>
          <w:rFonts w:ascii="Arial" w:hAnsi="Arial" w:hint="cs"/>
          <w:noProof w:val="0"/>
          <w:rtl/>
        </w:rPr>
        <w:t xml:space="preserve"> על ידי המשיב בהעדר תגובה, עולה כי </w:t>
      </w:r>
      <w:r>
        <w:rPr>
          <w:rFonts w:ascii="Arial" w:hAnsi="Arial" w:hint="cs"/>
          <w:noProof w:val="0"/>
          <w:rtl/>
        </w:rPr>
        <w:t xml:space="preserve">המערערת פעלה לגביית המזונות משנת 2011 סמוך לאחר מתן פסק הדין בשנת 2010. שולמו תשלומים חלקיים אם בכלל עד שנת 2015; בשלב מסוים על יסוד התחייבות המשיב כלפיה לשלם החוב מתוך כספי ביטוח שעתיד לקבל, </w:t>
      </w:r>
      <w:r w:rsidR="00042165">
        <w:rPr>
          <w:rFonts w:ascii="Arial" w:hAnsi="Arial" w:hint="cs"/>
          <w:noProof w:val="0"/>
          <w:rtl/>
        </w:rPr>
        <w:t xml:space="preserve">ועל מנת לאפשר לו לקבלם, </w:t>
      </w:r>
      <w:r>
        <w:rPr>
          <w:rFonts w:ascii="Arial" w:hAnsi="Arial" w:hint="cs"/>
          <w:noProof w:val="0"/>
          <w:rtl/>
        </w:rPr>
        <w:t>עצרה את שפעול המזונות בשנת 2016. המשיב לא פרע החוב, מחודש 12/16 שילם חלקית את סכומי המזונות. בשנת 2022 ביקשה המערערת לשפעל את חיוב המזונות, הוטלו עיקולים ומומשו כספים. בשנת 2024 הגישה בקשותיה להגדלת קרן החוב.</w:t>
      </w:r>
    </w:p>
    <w:p w:rsidR="00C2649D" w:rsidRDefault="00C2649D" w:rsidP="00C2649D">
      <w:pPr>
        <w:spacing w:line="360" w:lineRule="auto"/>
        <w:jc w:val="both"/>
        <w:rPr>
          <w:rFonts w:ascii="Arial" w:hAnsi="Arial"/>
          <w:noProof w:val="0"/>
          <w:rtl/>
        </w:rPr>
      </w:pPr>
    </w:p>
    <w:p w:rsidR="00C2649D" w:rsidRDefault="00C2649D" w:rsidP="00C2649D">
      <w:pPr>
        <w:spacing w:line="360" w:lineRule="auto"/>
        <w:jc w:val="both"/>
        <w:rPr>
          <w:rFonts w:ascii="Arial" w:hAnsi="Arial"/>
          <w:noProof w:val="0"/>
          <w:rtl/>
        </w:rPr>
      </w:pPr>
      <w:r w:rsidRPr="00C2649D">
        <w:rPr>
          <w:rFonts w:ascii="Arial" w:hAnsi="Arial" w:hint="cs"/>
          <w:b/>
          <w:bCs/>
          <w:noProof w:val="0"/>
          <w:rtl/>
        </w:rPr>
        <w:t>אני מוצאת כי בנסיבות שפורטו לא ניתן לראות במערערת כמי שלא החלה לפעול לגביית מזונות תוך שנתיים לאחר התקופה בה נפסקו</w:t>
      </w:r>
      <w:r>
        <w:rPr>
          <w:rFonts w:ascii="Arial" w:hAnsi="Arial" w:hint="cs"/>
          <w:noProof w:val="0"/>
          <w:rtl/>
        </w:rPr>
        <w:t>, כלשון סעיף 11(ב) לחוק המזונות.</w:t>
      </w:r>
    </w:p>
    <w:p w:rsidR="00C2649D" w:rsidRDefault="00C2649D" w:rsidP="00C2649D">
      <w:pPr>
        <w:spacing w:line="360" w:lineRule="auto"/>
        <w:jc w:val="both"/>
        <w:rPr>
          <w:rFonts w:ascii="Arial" w:hAnsi="Arial"/>
          <w:noProof w:val="0"/>
          <w:rtl/>
        </w:rPr>
      </w:pPr>
      <w:r>
        <w:rPr>
          <w:rFonts w:ascii="Arial" w:hAnsi="Arial" w:hint="cs"/>
          <w:noProof w:val="0"/>
          <w:rtl/>
        </w:rPr>
        <w:t xml:space="preserve">מדובר בחיובי מזונות שהוחל בגבייתם. פעולות הגבייה הופסקו בשלב מסוים על יסוד הבטחת המשיב כי יפרע החוב ונמשכו לאחר שהבינה המערערת כי לא יעמוד בהתחייבות. במהלך התקופה שילם המשיב מזונות, נטען כי באופן חלקי בלבד. אכן </w:t>
      </w:r>
      <w:r w:rsidR="00042165">
        <w:rPr>
          <w:rFonts w:ascii="Arial" w:hAnsi="Arial" w:hint="cs"/>
          <w:noProof w:val="0"/>
          <w:rtl/>
        </w:rPr>
        <w:t xml:space="preserve">על פניו </w:t>
      </w:r>
      <w:r>
        <w:rPr>
          <w:rFonts w:ascii="Arial" w:hAnsi="Arial" w:hint="cs"/>
          <w:noProof w:val="0"/>
          <w:rtl/>
        </w:rPr>
        <w:t>חל שיהוי במהלך הגבייה בין השנים 2016-2022, לטענת המערערת לנוכח המשך הבטחות מצד המשיב ונסיבות אישיות שלה. המערערת צרפה חלופת תכתובות מייל והעברת טיוטות הסכם בשנת 2015 התומכות בנטען.</w:t>
      </w:r>
      <w:r w:rsidR="00042165">
        <w:rPr>
          <w:rFonts w:ascii="Arial" w:hAnsi="Arial" w:hint="cs"/>
          <w:noProof w:val="0"/>
          <w:rtl/>
        </w:rPr>
        <w:t xml:space="preserve"> המשיב  לא סתר זאת, בהעדר תגובה.</w:t>
      </w:r>
    </w:p>
    <w:p w:rsidR="00C2649D" w:rsidRDefault="00C2649D" w:rsidP="00C2649D">
      <w:pPr>
        <w:spacing w:line="360" w:lineRule="auto"/>
        <w:jc w:val="both"/>
        <w:rPr>
          <w:rFonts w:ascii="Arial" w:hAnsi="Arial"/>
          <w:noProof w:val="0"/>
          <w:rtl/>
        </w:rPr>
      </w:pPr>
      <w:r>
        <w:rPr>
          <w:rFonts w:ascii="Arial" w:hAnsi="Arial" w:hint="cs"/>
          <w:noProof w:val="0"/>
          <w:rtl/>
        </w:rPr>
        <w:lastRenderedPageBreak/>
        <w:t>לנוכח לשון הסעיף, המסייגת גביית מזונות שלא פעלו לגבייתם אלא ברשות בימ"ש, אני מוצאת כי נכון ליתן פרשנות מצמצמת ודווקנית ללשונו.</w:t>
      </w:r>
    </w:p>
    <w:p w:rsidR="00C2649D" w:rsidRDefault="00C2649D" w:rsidP="00C2649D">
      <w:pPr>
        <w:spacing w:line="360" w:lineRule="auto"/>
        <w:jc w:val="both"/>
        <w:rPr>
          <w:rFonts w:ascii="Arial" w:hAnsi="Arial"/>
          <w:noProof w:val="0"/>
          <w:rtl/>
        </w:rPr>
      </w:pPr>
      <w:r>
        <w:rPr>
          <w:rFonts w:ascii="Arial" w:hAnsi="Arial" w:hint="cs"/>
          <w:noProof w:val="0"/>
          <w:rtl/>
        </w:rPr>
        <w:t>הרציונל העומד בבסיס סעיף 11(ב) לחוק המזונות, כי זוכה שלא פעל לגביית מזונות, אשר תכליתם לספק צרכים שוטפים של הזכאי להם, מוחזק כמי שויתר עליהם.</w:t>
      </w:r>
    </w:p>
    <w:p w:rsidR="00C2649D" w:rsidRDefault="00C2649D" w:rsidP="00C2649D">
      <w:pPr>
        <w:spacing w:line="360" w:lineRule="auto"/>
        <w:jc w:val="both"/>
        <w:rPr>
          <w:rFonts w:ascii="Arial" w:hAnsi="Arial"/>
          <w:noProof w:val="0"/>
          <w:rtl/>
        </w:rPr>
      </w:pPr>
      <w:r>
        <w:rPr>
          <w:rFonts w:ascii="Arial" w:hAnsi="Arial" w:hint="cs"/>
          <w:noProof w:val="0"/>
          <w:rtl/>
        </w:rPr>
        <w:t xml:space="preserve">מפעולות המערערת בהליכי ההוצל"פ ניתן ללמוד כי המערערת לא מחלה ולא ויתרה על גביית המזונות בחלוף השנים. </w:t>
      </w:r>
    </w:p>
    <w:p w:rsidR="00C2649D" w:rsidRDefault="00C2649D" w:rsidP="001E660A">
      <w:pPr>
        <w:spacing w:line="360" w:lineRule="auto"/>
        <w:jc w:val="both"/>
        <w:rPr>
          <w:rFonts w:ascii="Arial" w:hAnsi="Arial"/>
          <w:noProof w:val="0"/>
          <w:rtl/>
        </w:rPr>
      </w:pPr>
      <w:r>
        <w:rPr>
          <w:rFonts w:ascii="Arial" w:hAnsi="Arial" w:hint="cs"/>
          <w:noProof w:val="0"/>
          <w:rtl/>
        </w:rPr>
        <w:t xml:space="preserve">לכל היותר, ניתן להעביר אל כתפיה את הנטל להוכיח כי לא שולמו מזונות או חלקם </w:t>
      </w:r>
      <w:r w:rsidR="001E660A">
        <w:rPr>
          <w:rFonts w:ascii="Arial" w:hAnsi="Arial" w:hint="cs"/>
          <w:noProof w:val="0"/>
          <w:rtl/>
        </w:rPr>
        <w:t>בשנים</w:t>
      </w:r>
      <w:r>
        <w:rPr>
          <w:rFonts w:ascii="Arial" w:hAnsi="Arial" w:hint="cs"/>
          <w:noProof w:val="0"/>
          <w:rtl/>
        </w:rPr>
        <w:t xml:space="preserve"> 2016-2022 בתקופה בה לא פעלה לשפעול המזונות.</w:t>
      </w:r>
    </w:p>
    <w:p w:rsidR="00C2649D" w:rsidRDefault="00C2649D" w:rsidP="00C2649D">
      <w:pPr>
        <w:spacing w:line="360" w:lineRule="auto"/>
        <w:jc w:val="both"/>
        <w:rPr>
          <w:rFonts w:ascii="Arial" w:hAnsi="Arial"/>
          <w:noProof w:val="0"/>
          <w:rtl/>
        </w:rPr>
      </w:pPr>
    </w:p>
    <w:p w:rsidR="00C2649D" w:rsidRDefault="00C2649D" w:rsidP="00C2649D">
      <w:pPr>
        <w:spacing w:line="360" w:lineRule="auto"/>
        <w:jc w:val="both"/>
        <w:rPr>
          <w:rFonts w:ascii="Arial" w:hAnsi="Arial"/>
          <w:noProof w:val="0"/>
          <w:rtl/>
        </w:rPr>
      </w:pPr>
    </w:p>
    <w:p w:rsidR="00C2649D" w:rsidRPr="00C2649D" w:rsidRDefault="00C2649D" w:rsidP="00863954">
      <w:pPr>
        <w:spacing w:line="360" w:lineRule="auto"/>
        <w:jc w:val="both"/>
        <w:rPr>
          <w:rFonts w:ascii="Arial" w:hAnsi="Arial"/>
          <w:b/>
          <w:bCs/>
          <w:noProof w:val="0"/>
          <w:rtl/>
        </w:rPr>
      </w:pPr>
      <w:r w:rsidRPr="00C2649D">
        <w:rPr>
          <w:rFonts w:ascii="Arial" w:hAnsi="Arial" w:hint="cs"/>
          <w:b/>
          <w:bCs/>
          <w:noProof w:val="0"/>
          <w:rtl/>
        </w:rPr>
        <w:t>אשר לשאלה אם הוראת סעיף 11(ב) לחוק המזונות חל</w:t>
      </w:r>
      <w:r w:rsidR="00863954">
        <w:rPr>
          <w:rFonts w:ascii="Arial" w:hAnsi="Arial" w:hint="cs"/>
          <w:b/>
          <w:bCs/>
          <w:noProof w:val="0"/>
          <w:rtl/>
        </w:rPr>
        <w:t>ה</w:t>
      </w:r>
      <w:r w:rsidRPr="00C2649D">
        <w:rPr>
          <w:rFonts w:ascii="Arial" w:hAnsi="Arial" w:hint="cs"/>
          <w:b/>
          <w:bCs/>
          <w:noProof w:val="0"/>
          <w:rtl/>
        </w:rPr>
        <w:t xml:space="preserve"> על מי שיש לו דין אישי -</w:t>
      </w:r>
    </w:p>
    <w:p w:rsidR="00C2649D" w:rsidRDefault="00C2649D" w:rsidP="00C2649D">
      <w:pPr>
        <w:spacing w:line="360" w:lineRule="auto"/>
        <w:jc w:val="both"/>
        <w:rPr>
          <w:rFonts w:ascii="Arial" w:hAnsi="Arial"/>
          <w:noProof w:val="0"/>
          <w:rtl/>
        </w:rPr>
      </w:pPr>
      <w:r>
        <w:rPr>
          <w:rFonts w:ascii="Arial" w:hAnsi="Arial" w:hint="cs"/>
          <w:noProof w:val="0"/>
          <w:rtl/>
        </w:rPr>
        <w:t>הדעות בבתי המשפט המחוזיים בעניין חלוקות, בין היתר על יסוד פסיקת ביהמ"ש העליון, פסיקות הערכאות השונות בעניין לרבות ביה"ד הרבני</w:t>
      </w:r>
      <w:r w:rsidR="0036651F">
        <w:rPr>
          <w:rFonts w:ascii="Arial" w:hAnsi="Arial" w:hint="cs"/>
          <w:noProof w:val="0"/>
          <w:rtl/>
        </w:rPr>
        <w:t xml:space="preserve"> (כפי שהובא ברע"א 7801/21)</w:t>
      </w:r>
      <w:r>
        <w:rPr>
          <w:rFonts w:ascii="Arial" w:hAnsi="Arial" w:hint="cs"/>
          <w:noProof w:val="0"/>
          <w:rtl/>
        </w:rPr>
        <w:t>, לאחר חקיקת חוק יסוד: כבוד האדם וחירותו, עקרון השוויון ועוד.</w:t>
      </w:r>
    </w:p>
    <w:p w:rsidR="00C2649D" w:rsidRDefault="00C2649D" w:rsidP="00C2649D">
      <w:pPr>
        <w:spacing w:line="360" w:lineRule="auto"/>
        <w:jc w:val="both"/>
        <w:rPr>
          <w:rFonts w:ascii="Arial" w:hAnsi="Arial"/>
          <w:noProof w:val="0"/>
          <w:rtl/>
        </w:rPr>
      </w:pPr>
      <w:r>
        <w:rPr>
          <w:rFonts w:ascii="Arial" w:hAnsi="Arial" w:hint="cs"/>
          <w:noProof w:val="0"/>
          <w:rtl/>
        </w:rPr>
        <w:t xml:space="preserve">ברמ"ש (ת"א) 64590-12-23 </w:t>
      </w:r>
      <w:r>
        <w:rPr>
          <w:rFonts w:ascii="Arial" w:hAnsi="Arial" w:hint="cs"/>
          <w:b/>
          <w:bCs/>
          <w:noProof w:val="0"/>
          <w:u w:val="single"/>
          <w:rtl/>
        </w:rPr>
        <w:t>פלונית נ' פלוני</w:t>
      </w:r>
      <w:r>
        <w:rPr>
          <w:rFonts w:ascii="Arial" w:hAnsi="Arial" w:hint="cs"/>
          <w:noProof w:val="0"/>
          <w:rtl/>
        </w:rPr>
        <w:t xml:space="preserve"> (5.2.24) </w:t>
      </w:r>
      <w:r>
        <w:rPr>
          <w:rFonts w:ascii="Arial" w:hAnsi="Arial"/>
          <w:noProof w:val="0"/>
          <w:rtl/>
        </w:rPr>
        <w:t>–</w:t>
      </w:r>
      <w:r>
        <w:rPr>
          <w:rFonts w:ascii="Arial" w:hAnsi="Arial" w:hint="cs"/>
          <w:noProof w:val="0"/>
          <w:rtl/>
        </w:rPr>
        <w:t xml:space="preserve"> נאמר כי נטיית המותב להסכים עם העמדה לפיה הסעיף לא חל על מי שישי לו דין אישי. </w:t>
      </w:r>
      <w:r w:rsidRPr="00C2649D">
        <w:rPr>
          <w:rFonts w:ascii="Arial" w:hAnsi="Arial" w:hint="cs"/>
          <w:b/>
          <w:bCs/>
          <w:noProof w:val="0"/>
          <w:rtl/>
        </w:rPr>
        <w:t xml:space="preserve">מדובר </w:t>
      </w:r>
      <w:r>
        <w:rPr>
          <w:rFonts w:ascii="Arial" w:hAnsi="Arial" w:hint="cs"/>
          <w:b/>
          <w:bCs/>
          <w:noProof w:val="0"/>
          <w:rtl/>
        </w:rPr>
        <w:t xml:space="preserve">באמרת אגב במסגרת </w:t>
      </w:r>
      <w:r w:rsidRPr="00C2649D">
        <w:rPr>
          <w:rFonts w:ascii="Arial" w:hAnsi="Arial" w:hint="cs"/>
          <w:b/>
          <w:bCs/>
          <w:noProof w:val="0"/>
          <w:rtl/>
        </w:rPr>
        <w:t>החלטה שניתנה בדן יחיד</w:t>
      </w:r>
      <w:r>
        <w:rPr>
          <w:rFonts w:ascii="Arial" w:hAnsi="Arial" w:hint="cs"/>
          <w:b/>
          <w:bCs/>
          <w:noProof w:val="0"/>
          <w:rtl/>
        </w:rPr>
        <w:t xml:space="preserve"> </w:t>
      </w:r>
      <w:r>
        <w:rPr>
          <w:rFonts w:ascii="Arial" w:hAnsi="Arial" w:hint="cs"/>
          <w:noProof w:val="0"/>
          <w:rtl/>
        </w:rPr>
        <w:t>ע"י כב' השופט נפתלי שילה.</w:t>
      </w:r>
    </w:p>
    <w:p w:rsidR="00C2649D" w:rsidRDefault="00C2649D" w:rsidP="00C2649D">
      <w:pPr>
        <w:spacing w:line="360" w:lineRule="auto"/>
        <w:jc w:val="both"/>
        <w:rPr>
          <w:rFonts w:ascii="Arial" w:hAnsi="Arial"/>
          <w:noProof w:val="0"/>
          <w:rtl/>
        </w:rPr>
      </w:pPr>
      <w:r>
        <w:rPr>
          <w:rFonts w:ascii="Arial" w:hAnsi="Arial" w:hint="cs"/>
          <w:noProof w:val="0"/>
          <w:rtl/>
        </w:rPr>
        <w:t xml:space="preserve">בעמ"ש (מרכז) 6664-03-22 </w:t>
      </w:r>
      <w:r>
        <w:rPr>
          <w:rFonts w:ascii="Arial" w:hAnsi="Arial" w:hint="cs"/>
          <w:b/>
          <w:bCs/>
          <w:noProof w:val="0"/>
          <w:u w:val="single"/>
          <w:rtl/>
        </w:rPr>
        <w:t>פלוני נ' פלונית</w:t>
      </w:r>
      <w:r>
        <w:rPr>
          <w:rFonts w:ascii="Arial" w:hAnsi="Arial" w:hint="cs"/>
          <w:noProof w:val="0"/>
          <w:rtl/>
        </w:rPr>
        <w:t xml:space="preserve"> (31.3.23) </w:t>
      </w:r>
      <w:r>
        <w:rPr>
          <w:rFonts w:ascii="Arial" w:hAnsi="Arial"/>
          <w:noProof w:val="0"/>
          <w:rtl/>
        </w:rPr>
        <w:t>–</w:t>
      </w:r>
      <w:r>
        <w:rPr>
          <w:rFonts w:ascii="Arial" w:hAnsi="Arial" w:hint="cs"/>
          <w:noProof w:val="0"/>
          <w:rtl/>
        </w:rPr>
        <w:t xml:space="preserve"> נקבע כי הסעיף חל אף על בני זוג לגביהם חל הדין האישי. </w:t>
      </w:r>
      <w:r w:rsidRPr="00C2649D">
        <w:rPr>
          <w:rFonts w:ascii="Arial" w:hAnsi="Arial" w:hint="cs"/>
          <w:b/>
          <w:bCs/>
          <w:noProof w:val="0"/>
          <w:rtl/>
        </w:rPr>
        <w:t xml:space="preserve">מדובר </w:t>
      </w:r>
      <w:r>
        <w:rPr>
          <w:rFonts w:ascii="Arial" w:hAnsi="Arial" w:hint="cs"/>
          <w:b/>
          <w:bCs/>
          <w:noProof w:val="0"/>
          <w:rtl/>
        </w:rPr>
        <w:t>בפסיקה מנחה ב</w:t>
      </w:r>
      <w:r w:rsidRPr="00C2649D">
        <w:rPr>
          <w:rFonts w:ascii="Arial" w:hAnsi="Arial" w:hint="cs"/>
          <w:b/>
          <w:bCs/>
          <w:noProof w:val="0"/>
          <w:rtl/>
        </w:rPr>
        <w:t>פסק דין בהרכב תלתא</w:t>
      </w:r>
      <w:r>
        <w:rPr>
          <w:rFonts w:ascii="Arial" w:hAnsi="Arial" w:hint="cs"/>
          <w:noProof w:val="0"/>
          <w:rtl/>
        </w:rPr>
        <w:t>, על דעת כל שופטי ההרכב כב' השופטת ס. הנשיאה ורדה פלאוט, כב' השופט צבי ויצמן וכב' השופטת יעל מושקוביץ.</w:t>
      </w:r>
    </w:p>
    <w:p w:rsidR="00C2649D" w:rsidRDefault="00C2649D" w:rsidP="00C2649D">
      <w:pPr>
        <w:spacing w:line="360" w:lineRule="auto"/>
        <w:jc w:val="both"/>
        <w:rPr>
          <w:rFonts w:ascii="Arial" w:hAnsi="Arial"/>
          <w:noProof w:val="0"/>
          <w:rtl/>
        </w:rPr>
      </w:pPr>
      <w:r>
        <w:rPr>
          <w:rFonts w:ascii="Arial" w:hAnsi="Arial" w:hint="cs"/>
          <w:noProof w:val="0"/>
          <w:rtl/>
        </w:rPr>
        <w:lastRenderedPageBreak/>
        <w:t xml:space="preserve">בעמ"ש (חיפה) 17587-02-20 </w:t>
      </w:r>
      <w:r>
        <w:rPr>
          <w:rFonts w:ascii="Arial" w:hAnsi="Arial" w:hint="cs"/>
          <w:b/>
          <w:bCs/>
          <w:noProof w:val="0"/>
          <w:u w:val="single"/>
          <w:rtl/>
        </w:rPr>
        <w:t>א. נ' ב.</w:t>
      </w:r>
      <w:r>
        <w:rPr>
          <w:rFonts w:ascii="Arial" w:hAnsi="Arial" w:hint="cs"/>
          <w:noProof w:val="0"/>
          <w:rtl/>
        </w:rPr>
        <w:t xml:space="preserve"> (21.2.22) נקבע על ידי כב' השופט סארי ג'יוסי (אב"ד) כי סעיף 11(ב) אינו חל על מתדיינים להם דין אישי. כב' השופט ניצן סילמן בדעה כי הסעיף חל גם על מי שחב במזונות על פי דינו האישי, כב' השופטת עפרה אטיאס בחרה שלא להכריע במחלוקת העקרונית בין הדעות השונות. תוצאת פסק הדין כי בנסיבות שם לא נמצא צורך באישור בימ"ש לשם גביית המזונות להם עתרה המערערת.</w:t>
      </w:r>
    </w:p>
    <w:p w:rsidR="00C2649D" w:rsidRDefault="00C2649D" w:rsidP="0036651F">
      <w:pPr>
        <w:spacing w:line="360" w:lineRule="auto"/>
        <w:jc w:val="both"/>
        <w:rPr>
          <w:rFonts w:ascii="Arial" w:hAnsi="Arial"/>
          <w:noProof w:val="0"/>
          <w:rtl/>
        </w:rPr>
      </w:pPr>
      <w:r>
        <w:rPr>
          <w:rFonts w:ascii="Arial" w:hAnsi="Arial" w:hint="cs"/>
          <w:noProof w:val="0"/>
          <w:rtl/>
        </w:rPr>
        <w:t xml:space="preserve">בהינתן התוצאה אליה הגעתי, לא עולה צורך להכריע בשאלה המשפטית במסגרת פסק דין זה, הגם שאומר דעתי כי סעיף 11(ב) חל גם על מי שיש לו דין אישי, </w:t>
      </w:r>
      <w:r w:rsidR="0036651F">
        <w:rPr>
          <w:rFonts w:ascii="Arial" w:hAnsi="Arial" w:hint="cs"/>
          <w:noProof w:val="0"/>
          <w:rtl/>
        </w:rPr>
        <w:t>על יסוד</w:t>
      </w:r>
      <w:r>
        <w:rPr>
          <w:rFonts w:ascii="Arial" w:hAnsi="Arial" w:hint="cs"/>
          <w:noProof w:val="0"/>
          <w:rtl/>
        </w:rPr>
        <w:t xml:space="preserve"> פסק דינו של </w:t>
      </w:r>
      <w:r w:rsidR="00863954">
        <w:rPr>
          <w:rFonts w:ascii="Arial" w:hAnsi="Arial" w:hint="cs"/>
          <w:noProof w:val="0"/>
          <w:rtl/>
        </w:rPr>
        <w:t xml:space="preserve">כב' </w:t>
      </w:r>
      <w:r>
        <w:rPr>
          <w:rFonts w:ascii="Arial" w:hAnsi="Arial" w:hint="cs"/>
          <w:noProof w:val="0"/>
          <w:rtl/>
        </w:rPr>
        <w:t>ביהמ"ש המחוזי (מרכז) ונימוקי כב' השופט סילמן בפסק</w:t>
      </w:r>
      <w:r w:rsidR="00863954">
        <w:rPr>
          <w:rFonts w:ascii="Arial" w:hAnsi="Arial" w:hint="cs"/>
          <w:noProof w:val="0"/>
          <w:rtl/>
        </w:rPr>
        <w:t xml:space="preserve"> הדין </w:t>
      </w:r>
      <w:r>
        <w:rPr>
          <w:rFonts w:ascii="Arial" w:hAnsi="Arial" w:hint="cs"/>
          <w:noProof w:val="0"/>
          <w:rtl/>
        </w:rPr>
        <w:t>לעיל.</w:t>
      </w:r>
    </w:p>
    <w:p w:rsidR="00C2649D" w:rsidRDefault="00C2649D" w:rsidP="00C2649D">
      <w:pPr>
        <w:spacing w:line="360" w:lineRule="auto"/>
        <w:jc w:val="both"/>
        <w:rPr>
          <w:rFonts w:ascii="Arial" w:hAnsi="Arial"/>
          <w:noProof w:val="0"/>
          <w:rtl/>
        </w:rPr>
      </w:pPr>
    </w:p>
    <w:p w:rsidR="00C2649D" w:rsidRDefault="00C2649D" w:rsidP="00C2649D">
      <w:pPr>
        <w:spacing w:line="360" w:lineRule="auto"/>
        <w:jc w:val="both"/>
        <w:rPr>
          <w:rFonts w:ascii="Arial" w:hAnsi="Arial"/>
          <w:b/>
          <w:bCs/>
          <w:noProof w:val="0"/>
          <w:rtl/>
        </w:rPr>
      </w:pPr>
      <w:r>
        <w:rPr>
          <w:rFonts w:ascii="Arial" w:hAnsi="Arial" w:hint="cs"/>
          <w:b/>
          <w:bCs/>
          <w:noProof w:val="0"/>
          <w:rtl/>
        </w:rPr>
        <w:t>על יסוד האמור הערעור מתקבל.</w:t>
      </w:r>
    </w:p>
    <w:p w:rsidR="00C2649D" w:rsidRPr="00C2649D" w:rsidRDefault="00C2649D" w:rsidP="00C2649D">
      <w:pPr>
        <w:spacing w:line="360" w:lineRule="auto"/>
        <w:jc w:val="both"/>
        <w:rPr>
          <w:rFonts w:ascii="Arial" w:hAnsi="Arial"/>
          <w:b/>
          <w:bCs/>
          <w:noProof w:val="0"/>
          <w:rtl/>
        </w:rPr>
      </w:pPr>
      <w:r>
        <w:rPr>
          <w:rFonts w:ascii="Arial" w:hAnsi="Arial" w:hint="cs"/>
          <w:b/>
          <w:bCs/>
          <w:noProof w:val="0"/>
          <w:rtl/>
        </w:rPr>
        <w:t>על כב' הרשם לדון ולהכריע לגופה בבקשת המערערת להגדלת קרן החוב/עדכון חוב בגין מזונות שוטפים לתקופה 7/2012-8/2013, 6/2014-3/2022 (כולל) וטענות המשיב שהועלו לגוף העניין.</w:t>
      </w:r>
    </w:p>
    <w:p w:rsidR="00694556" w:rsidRDefault="00C2649D" w:rsidP="00C2649D">
      <w:pPr>
        <w:spacing w:line="360" w:lineRule="auto"/>
        <w:jc w:val="both"/>
        <w:rPr>
          <w:rFonts w:ascii="Arial" w:hAnsi="Arial"/>
          <w:noProof w:val="0"/>
          <w:rtl/>
        </w:rPr>
      </w:pPr>
      <w:r>
        <w:rPr>
          <w:rFonts w:ascii="Arial" w:hAnsi="Arial" w:hint="cs"/>
          <w:noProof w:val="0"/>
          <w:rtl/>
        </w:rPr>
        <w:t>בנסיבות העניין, בשים לב להחלטת כב' הרשם מיום 8.4.24 עליה לא הוגשה השגה, השיהוי בגבייה במהלך התקופה - לא מצאתי לפסוק הוצאות ההליך.</w:t>
      </w:r>
    </w:p>
    <w:p w:rsidR="00C2649D" w:rsidRDefault="00C2649D">
      <w:pPr>
        <w:spacing w:line="360" w:lineRule="auto"/>
        <w:jc w:val="both"/>
        <w:rPr>
          <w:rFonts w:ascii="Arial" w:hAnsi="Arial"/>
          <w:noProof w:val="0"/>
          <w:rtl/>
        </w:rPr>
      </w:pPr>
      <w:r>
        <w:rPr>
          <w:rFonts w:ascii="Arial" w:hAnsi="Arial" w:hint="cs"/>
          <w:noProof w:val="0"/>
          <w:rtl/>
        </w:rPr>
        <w:t>העירבון שהפקידה המערערת בקופת בימ"ש יושב לה באמצעות באת כוחה.</w:t>
      </w:r>
    </w:p>
    <w:p w:rsidR="00C2649D" w:rsidRDefault="00C2649D">
      <w:pPr>
        <w:spacing w:line="360" w:lineRule="auto"/>
        <w:jc w:val="both"/>
        <w:rPr>
          <w:rFonts w:ascii="Arial" w:hAnsi="Arial"/>
          <w:noProof w:val="0"/>
          <w:rtl/>
        </w:rPr>
      </w:pPr>
    </w:p>
    <w:p w:rsidR="00C2649D" w:rsidRPr="0036651F" w:rsidRDefault="00C2649D">
      <w:pPr>
        <w:spacing w:line="360" w:lineRule="auto"/>
        <w:jc w:val="both"/>
        <w:rPr>
          <w:rFonts w:ascii="Arial" w:hAnsi="Arial"/>
          <w:noProof w:val="0"/>
          <w:u w:val="single"/>
          <w:rtl/>
        </w:rPr>
      </w:pPr>
      <w:r w:rsidRPr="0036651F">
        <w:rPr>
          <w:rFonts w:ascii="Arial" w:hAnsi="Arial" w:hint="cs"/>
          <w:noProof w:val="0"/>
          <w:u w:val="single"/>
          <w:rtl/>
        </w:rPr>
        <w:t>המזכירות תמציא לצדדים ותסגור התיק.</w:t>
      </w:r>
    </w:p>
    <w:p w:rsidR="00C2649D" w:rsidRPr="00C2649D" w:rsidRDefault="00C2649D">
      <w:pPr>
        <w:spacing w:line="360" w:lineRule="auto"/>
        <w:jc w:val="both"/>
        <w:rPr>
          <w:rFonts w:ascii="Arial" w:hAnsi="Arial"/>
          <w:noProof w:val="0"/>
          <w:u w:val="single"/>
          <w:rtl/>
        </w:rPr>
      </w:pPr>
      <w:r>
        <w:rPr>
          <w:rFonts w:ascii="Arial" w:hAnsi="Arial" w:hint="cs"/>
          <w:noProof w:val="0"/>
          <w:u w:val="single"/>
          <w:rtl/>
        </w:rPr>
        <w:t>פסק הדין ניתן לפרסום, ללא פרטים מזהים</w:t>
      </w:r>
    </w:p>
    <w:p w:rsidR="00694556" w:rsidRDefault="00694556">
      <w:pPr>
        <w:spacing w:line="360" w:lineRule="auto"/>
        <w:jc w:val="both"/>
        <w:rPr>
          <w:rFonts w:ascii="Arial" w:hAnsi="Arial"/>
          <w:noProof w:val="0"/>
          <w:rtl/>
        </w:rPr>
      </w:pPr>
    </w:p>
    <w:p w:rsidR="005B0F49" w:rsidRDefault="00005C8B" w:rsidP="00EA760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13 אוקטובר 2024</w:t>
          </w:r>
        </w:sdtContent>
      </w:sdt>
      <w:r>
        <w:rPr>
          <w:rFonts w:ascii="Arial" w:hAnsi="Arial"/>
          <w:noProof w:val="0"/>
          <w:rtl/>
        </w:rPr>
        <w:t>, בהעדר הצדדים.</w:t>
      </w:r>
      <w:r w:rsidR="00EA7600">
        <w:rPr>
          <w:rFonts w:ascii="Arial" w:hAnsi="Arial" w:hint="cs"/>
          <w:noProof w:val="0"/>
          <w:rtl/>
        </w:rPr>
        <w:tab/>
      </w:r>
      <w:r w:rsidR="00EA7600">
        <w:rPr>
          <w:rFonts w:ascii="Arial" w:hAnsi="Arial" w:hint="cs"/>
          <w:noProof w:val="0"/>
          <w:rtl/>
        </w:rPr>
        <w:tab/>
      </w:r>
      <w:r w:rsidR="00EA7600">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157A69" w:rsidP="00EA7600">
      <w:pPr>
        <w:spacing w:line="360" w:lineRule="auto"/>
        <w:ind w:left="3600" w:firstLine="720"/>
      </w:pPr>
      <w:sdt>
        <w:sdtPr>
          <w:rPr>
            <w:rtl/>
          </w:rPr>
          <w:alias w:val="MergeField"/>
          <w:tag w:val="1237"/>
          <w:id w:val="-1105257982"/>
        </w:sdtPr>
        <w:sdtEndPr/>
        <w:sdtContent>
          <w:r w:rsidR="00F562E5">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32204" cy="630936"/>
                        </a:xfrm>
                        <a:prstGeom prst="rect">
                          <a:avLst/>
                        </a:prstGeom>
                      </pic:spPr>
                    </pic:pic>
                  </a:graphicData>
                </a:graphic>
              </wp:inline>
            </w:drawing>
          </w:r>
        </w:sdtContent>
      </w:sdt>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A69" w:rsidRDefault="00157A69">
      <w:r>
        <w:separator/>
      </w:r>
    </w:p>
  </w:endnote>
  <w:endnote w:type="continuationSeparator" w:id="0">
    <w:p w:rsidR="00157A69" w:rsidRDefault="0015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B2B3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B2B35">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A69" w:rsidRDefault="00157A69">
      <w:r>
        <w:separator/>
      </w:r>
    </w:p>
  </w:footnote>
  <w:footnote w:type="continuationSeparator" w:id="0">
    <w:p w:rsidR="00157A69" w:rsidRDefault="00157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157A69" w:rsidP="00EA760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ע"ר</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39415-05-24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ל</w:t>
              </w:r>
              <w:r w:rsidR="00EA7600">
                <w:rPr>
                  <w:rFonts w:hint="cs"/>
                  <w:b/>
                  <w:bCs/>
                  <w:noProof w:val="0"/>
                  <w:sz w:val="26"/>
                  <w:szCs w:val="26"/>
                  <w:rtl/>
                </w:rPr>
                <w:t xml:space="preserve">. </w:t>
              </w:r>
              <w:r w:rsidR="00FB3C14">
                <w:rPr>
                  <w:b/>
                  <w:bCs/>
                  <w:noProof w:val="0"/>
                  <w:sz w:val="26"/>
                  <w:szCs w:val="26"/>
                  <w:rtl/>
                </w:rPr>
                <w:t>נ' ל</w:t>
              </w:r>
              <w:r w:rsidR="00EA7600">
                <w:rPr>
                  <w:rFonts w:hint="cs"/>
                  <w:b/>
                  <w:bCs/>
                  <w:noProof w:val="0"/>
                  <w:sz w:val="26"/>
                  <w:szCs w:val="26"/>
                  <w:rtl/>
                </w:rPr>
                <w:t>.</w:t>
              </w:r>
            </w:sdtContent>
          </w:sdt>
          <w:r w:rsidR="00957C90"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620EB0"/>
    <w:multiLevelType w:val="hybridMultilevel"/>
    <w:tmpl w:val="24260ABA"/>
    <w:lvl w:ilvl="0" w:tplc="BB1A74CC">
      <w:numFmt w:val="bullet"/>
      <w:lvlText w:val="-"/>
      <w:lvlJc w:val="left"/>
      <w:pPr>
        <w:ind w:left="720" w:hanging="360"/>
      </w:pPr>
      <w:rPr>
        <w:rFonts w:ascii="David" w:eastAsia="Times New Roman"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cumentProtection w:edit="readOnly" w:enforcement="1" w:cryptProviderType="rsaAES" w:cryptAlgorithmClass="hash" w:cryptAlgorithmType="typeAny" w:cryptAlgorithmSid="14" w:cryptSpinCount="100000" w:hash="ueqwjvcSKG1oDGpM5tpxDTh77l9xh+i8MrdBxmn+Cjkg933yqnoDkMQjwMECtyEfrc7zEER+DUlw36mmelMubA==" w:salt="/sHkugb4AxcGMXXRpmMFz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30715"/>
    <w:docVar w:name="CourtID" w:val="4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230715&amp;lt;/CaseID&amp;gt;_x000d__x000a_        &amp;lt;DocumentID&amp;gt;458094170&amp;lt;/DocumentID&amp;gt;_x000d__x000a_      &amp;lt;/dt_DocumentCase&amp;gt;_x000d__x000a_      &amp;lt;dt_Document diffgr:id=&amp;quot;dt_Document1&amp;quot; msdata:rowOrder=&amp;quot;0&amp;quot;&amp;gt;_x000d__x000a_        &amp;lt;DocumentID&amp;gt;458094170&amp;lt;/DocumentID&amp;gt;_x000d__x000a_        &amp;lt;DocumentMainID&amp;gt;0&amp;lt;/DocumentMainID&amp;gt;_x000d__x000a_        &amp;lt;CaseID&amp;gt;81230715&amp;lt;/CaseID&amp;gt;_x000d__x000a_        &amp;lt;DocumentIncludedDate&amp;gt;2024-10-15T13:39:21.467+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0-15T13:39:21.467+03:00&amp;lt;/DocumentSavingDate&amp;gt;_x000d__x000a_        &amp;lt;DocumentChangeDate&amp;gt;2024-10-15T13:39:21.563+03:00&amp;lt;/DocumentChangeDate&amp;gt;_x000d__x000a_        &amp;lt;IsScanned&amp;gt;false&amp;lt;/IsScanned&amp;gt;_x000d__x000a_        &amp;lt;PageQuantity&amp;gt;0&amp;lt;/PageQuantity&amp;gt;_x000d__x000a_        &amp;lt;DocumentStatusID&amp;gt;2&amp;lt;/DocumentStatusID&amp;gt;_x000d__x000a_        &amp;lt;DocumentStatusChangeDate&amp;gt;2024-10-15T13:39:21.563+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57708610&amp;lt;/OriginalDocumentID&amp;gt;_x000d__x000a_        &amp;lt;PrivillegeID&amp;gt;1&amp;lt;/PrivillegeID&amp;gt;_x000d__x000a_        &amp;lt;FromPage&amp;gt;0&amp;lt;/FromPage&amp;gt;_x000d__x000a_        &amp;lt;ToPage&amp;gt;0&amp;lt;/ToPage&amp;gt;_x000d__x000a_        &amp;lt;FileID&amp;gt;41ccc28f92010000090037f6ab87eb4a&amp;lt;/FileID&amp;gt;_x000d__x000a_        &amp;lt;URL&amp;gt;\\CTLNFSV02\doc_repository\121\89\af8c298bf2c94106b31a3d9137d17746_copy.docx&amp;lt;/URL&amp;gt;_x000d__x000a_        &amp;lt;OlivePriority&amp;gt;1&amp;lt;/OlivePriority&amp;gt;_x000d__x000a_        &amp;lt;MetaDataTypeID&amp;gt;1&amp;lt;/MetaDataTypeID&amp;gt;_x000d__x000a_        &amp;lt;MetaDataChangeDate&amp;gt;2024-10-15T13:39:21.56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4-10-13T08:03:46.3269242&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0-13T08:03:46.32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42165"/>
    <w:rsid w:val="000564AB"/>
    <w:rsid w:val="000922D4"/>
    <w:rsid w:val="000B2B35"/>
    <w:rsid w:val="000D4A02"/>
    <w:rsid w:val="001072A9"/>
    <w:rsid w:val="00121F97"/>
    <w:rsid w:val="001277D7"/>
    <w:rsid w:val="00132017"/>
    <w:rsid w:val="0014234E"/>
    <w:rsid w:val="00145A87"/>
    <w:rsid w:val="00157A69"/>
    <w:rsid w:val="001C4003"/>
    <w:rsid w:val="001E660A"/>
    <w:rsid w:val="001F5474"/>
    <w:rsid w:val="002352F7"/>
    <w:rsid w:val="0027277D"/>
    <w:rsid w:val="003152E2"/>
    <w:rsid w:val="0036651F"/>
    <w:rsid w:val="00381D3A"/>
    <w:rsid w:val="003823DA"/>
    <w:rsid w:val="0043595F"/>
    <w:rsid w:val="00442A8F"/>
    <w:rsid w:val="0047645A"/>
    <w:rsid w:val="004D49A3"/>
    <w:rsid w:val="004D50AC"/>
    <w:rsid w:val="004E6E3C"/>
    <w:rsid w:val="005124F1"/>
    <w:rsid w:val="00530BAD"/>
    <w:rsid w:val="00541598"/>
    <w:rsid w:val="00547DB7"/>
    <w:rsid w:val="00567324"/>
    <w:rsid w:val="005B0F49"/>
    <w:rsid w:val="005C12EA"/>
    <w:rsid w:val="005C7EC6"/>
    <w:rsid w:val="005D4BDB"/>
    <w:rsid w:val="006019C2"/>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63954"/>
    <w:rsid w:val="008773E2"/>
    <w:rsid w:val="008E1332"/>
    <w:rsid w:val="00903896"/>
    <w:rsid w:val="00912543"/>
    <w:rsid w:val="00927813"/>
    <w:rsid w:val="00932F7F"/>
    <w:rsid w:val="009423DA"/>
    <w:rsid w:val="00944D13"/>
    <w:rsid w:val="00957C90"/>
    <w:rsid w:val="009B70F6"/>
    <w:rsid w:val="009C358E"/>
    <w:rsid w:val="009E0263"/>
    <w:rsid w:val="00A267CF"/>
    <w:rsid w:val="00A342BD"/>
    <w:rsid w:val="00A43458"/>
    <w:rsid w:val="00AC4E19"/>
    <w:rsid w:val="00AF1ED6"/>
    <w:rsid w:val="00B32C61"/>
    <w:rsid w:val="00B368FE"/>
    <w:rsid w:val="00B80CBD"/>
    <w:rsid w:val="00BC3369"/>
    <w:rsid w:val="00BF77EE"/>
    <w:rsid w:val="00C2649D"/>
    <w:rsid w:val="00C32E0F"/>
    <w:rsid w:val="00C42BF9"/>
    <w:rsid w:val="00C83E56"/>
    <w:rsid w:val="00CC63CE"/>
    <w:rsid w:val="00D319B3"/>
    <w:rsid w:val="00D36A71"/>
    <w:rsid w:val="00D53924"/>
    <w:rsid w:val="00D60849"/>
    <w:rsid w:val="00D96D8C"/>
    <w:rsid w:val="00DA755B"/>
    <w:rsid w:val="00DD337E"/>
    <w:rsid w:val="00E00B6F"/>
    <w:rsid w:val="00E347D8"/>
    <w:rsid w:val="00E44DDF"/>
    <w:rsid w:val="00E54642"/>
    <w:rsid w:val="00E97908"/>
    <w:rsid w:val="00EA7600"/>
    <w:rsid w:val="00EB72EF"/>
    <w:rsid w:val="00EF3ED0"/>
    <w:rsid w:val="00F17E56"/>
    <w:rsid w:val="00F562E5"/>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347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81230715</CaseID>
    <CaseJudicialPersonPresentationDS>
      <CaseJudicalPersonActive>
        <CaseID>81230715</CaseID>
        <JudicialPersonID>038630166@GOV.IL</JudicialPersonID>
        <JudicialPersonTypeID>1</JudicialPersonTypeID>
        <JudicialTypeID>1</JudicialTypeID>
        <IsChairman>false</IsChairman>
        <TreatmentStartDate>2024-05-20T10:14:32.76+03:00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מיכל לוי</FullName>
        <FirstName>מיכל</FirstName>
        <LastName>לוי</LastName>
        <PartyPropertyName/>
        <AuthenticationTypeAndNumber>ת"ז 025393653</AuthenticationTypeAndNumber>
        <RepresentatedOrRepresentativesNames>אבשלום טל</RepresentatedOrRepresentativesNames>
        <RepresentatedOrRepresentativesCount>1</RepresentatedOrRepresentativesCount>
        <InvitedBy/>
        <CaseID>81230715</CaseID>
        <CaseJudicialPersonPresentationDS>
          <CaseJudicalPersonActive>
            <CaseID>81230715</CaseID>
            <JudicialPersonID>038630166@GOV.IL</JudicialPersonID>
            <JudicialPersonTypeID>1</JudicialPersonTypeID>
            <JudicialTypeID>1</JudicialTypeID>
            <IsChairman>false</IsChairman>
            <TreatmentStartDate>2024-05-20T10:14:32.76+03:00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270208341</CasePartyID>
        <PartyTypeID>1</PartyTypeID>
        <ActivityStatusID>1</ActivityStatusID>
        <PartyAliasID>5</PartyAliasID>
        <PartyAliasName>מערער</PartyAliasName>
        <OrdinalNumber>1</OrdinalNumber>
        <LegalEntityID>1505229</LegalEntityID>
        <CaseLegalEntityID>128892888</CaseLegalEntityID>
        <AuthenticationTypeID>1</AuthenticationTypeID>
        <AuthenticationTypeName>ת"ז</AuthenticationTypeName>
        <LegalEntityNumber>025393653</LegalEntityNumber>
        <IsMainPartyType>true</IsMainPartyType>
        <CaseDisplayIdentifier>39415-05-24</CaseDisplayIdentifier>
        <CaseTypeID>10038</CaseTypeID>
        <CaseTypeName>ערעור על החלטת רשם (ע"ר)</CaseTypeName>
        <CaseName>לוי נ' לוי</CaseName>
        <FullAddress>ארלוזרוב 3/3 גבעתיים </FullAddress>
        <MotionID>0</MotionID>
        <CasePleaID>0</CasePleaID>
        <FatherName>רחמים</FatherName>
        <LinkedCaseID>0</LinkedCaseID>
        <PartyID>1</PartyID>
        <CasePartyCategoryID>2</CasePartyCategoryID>
        <LegalEntityAddressID>89306400</LegalEntityAddressID>
        <PleaTypeID>6</PleaTypeID>
        <GroupPartyAlias>מערערים</GroupPartyAlias>
        <IsConverted>false</IsConverted>
        <LegalEntityRegisteredNameID>329575</LegalEntityRegisteredNameID>
        <LegalEntityNameID>96571849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לוי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אבשלום טל</FullName>
        <FirstName>אבשלום</FirstName>
        <LastName>טל</LastName>
        <PartyPropertyName/>
        <AuthenticationTypeAndNumber>מ.ר. 43333</AuthenticationTypeAndNumber>
        <RepresentatedOrRepresentativesNames>מיכל לוי</RepresentatedOrRepresentativesNames>
        <RepresentatedOrRepresentativesCount>1</RepresentatedOrRepresentativesCount>
        <InvitedBy/>
        <CaseID>81230715</CaseID>
        <CaseJudicialPersonPresentationDS>
          <CaseJudicalPersonActive>
            <CaseID>81230715</CaseID>
            <JudicialPersonID>038630166@GOV.IL</JudicialPersonID>
            <JudicialPersonTypeID>1</JudicialPersonTypeID>
            <JudicialTypeID>1</JudicialTypeID>
            <IsChairman>false</IsChairman>
            <TreatmentStartDate>2024-05-20T10:14:32.76+03:00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270208342</CasePartyID>
        <PartyTypeID>2</PartyTypeID>
        <ActivityStatusID>1</ActivityStatusID>
        <PartyAliasID>24</PartyAliasID>
        <PartyAliasName>בא כוח מערערים</PartyAliasName>
        <OrdinalNumber>1</OrdinalNumber>
        <LegalEntityID>2114372</LegalEntityID>
        <CaseLegalEntityID>128892889</CaseLegalEntityID>
        <AuthenticationTypeID>4</AuthenticationTypeID>
        <AuthenticationTypeName>מ.ר.</AuthenticationTypeName>
        <LegalEntityNumber>43333</LegalEntityNumber>
        <IsMainPartyType>true</IsMainPartyType>
        <CaseDisplayIdentifier>39415-05-24</CaseDisplayIdentifier>
        <CaseTypeID>10038</CaseTypeID>
        <CaseTypeName>ערעור על החלטת רשם (ע"ר)</CaseTypeName>
        <CaseName>לוי נ' לוי</CaseName>
        <FullAddress>.. ראשון לציון ת.ד 2289</FullAddress>
        <MotionID>0</MotionID>
        <CasePleaID>0</CasePleaID>
        <LinkedCaseID>0</LinkedCaseID>
        <PartyID>1</PartyID>
        <CasePartyCategoryID>2</CasePartyCategoryID>
        <LegalEntityAddressID>87889221</LegalEntityAddressID>
        <PleaTypeID>6</PleaTypeID>
        <LawyerOfficeName>משרד עו"ד אבשלום טל</LawyerOfficeName>
        <LawyerOfficeID>2114373</LawyerOfficeID>
        <GroupPartyAlias/>
        <IsConverted>false</IsConverted>
        <LegalEntityNameID>1735508</LegalEntityNameID>
        <RepresentatedNamesOfAssistant/>
        <LegalEntityTypeID>4</LegalEntityTypeID>
        <IsVerdictExists>false</IsVerdictExists>
        <IsAsirAzir>false</IsAsirAzir>
        <MainAndSecSpec/>
        <IsPublicationProhibited>false</IsPublicationProhibited>
        <PublicationProhibitedFullName>אבשלום טל</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שמואל לוי</FullName>
        <FirstName>שמואל</FirstName>
        <LastName>לוי</LastName>
        <PartyPropertyName/>
        <AuthenticationTypeAndNumber>ת"ז 028942654</AuthenticationTypeAndNumber>
        <RepresentatedOrRepresentativesNames/>
        <RepresentatedOrRepresentativesCount>0</RepresentatedOrRepresentativesCount>
        <InvitedBy/>
        <CaseID>81230715</CaseID>
        <CaseJudicialPersonPresentationDS>
          <CaseJudicalPersonActive>
            <CaseID>81230715</CaseID>
            <JudicialPersonID>038630166@GOV.IL</JudicialPersonID>
            <JudicialPersonTypeID>1</JudicialPersonTypeID>
            <JudicialTypeID>1</JudicialTypeID>
            <IsChairman>false</IsChairman>
            <TreatmentStartDate>2024-05-20T10:14:32.76+03:00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270208343</CasePartyID>
        <PartyTypeID>1</PartyTypeID>
        <ActivityStatusID>1</ActivityStatusID>
        <PartyAliasID>4</PartyAliasID>
        <PartyAliasName>משיב</PartyAliasName>
        <OrdinalNumber>1</OrdinalNumber>
        <LegalEntityID>8548958</LegalEntityID>
        <CaseLegalEntityID>128892890</CaseLegalEntityID>
        <AuthenticationTypeID>1</AuthenticationTypeID>
        <AuthenticationTypeName>ת"ז</AuthenticationTypeName>
        <LegalEntityNumber>028942654</LegalEntityNumber>
        <IsMainPartyType>true</IsMainPartyType>
        <CaseDisplayIdentifier>39415-05-24</CaseDisplayIdentifier>
        <CaseTypeID>10038</CaseTypeID>
        <CaseTypeName>ערעור על החלטת רשם (ע"ר)</CaseTypeName>
        <CaseName>לוי נ' לוי</CaseName>
        <FullAddress>ס"ה 53 תל אביב -יפו </FullAddress>
        <MotionID>0</MotionID>
        <CasePleaID>0</CasePleaID>
        <FatherName>אליהו</FatherName>
        <LinkedCaseID>0</LinkedCaseID>
        <PartyID>2</PartyID>
        <CasePartyCategoryID>2</CasePartyCategoryID>
        <LegalEntityAddressID>89306401</LegalEntityAddressID>
        <PleaTypeID>6</PleaTypeID>
        <GroupPartyAlias>משיבים</GroupPartyAlias>
        <IsConverted>false</IsConverted>
        <LegalEntityRegisteredNameID>498699</LegalEntityRegisteredNameID>
        <LegalEntityNameID>96571850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שמואל לוי</PublicationProhibitedFullName>
      </CaseParties>
    </CasePartiesSelectionDS>
    <DecisionName>פסק דין  שניתנה ע"י  עידית בן-דב ג'וליאן</DecisionName>
    <CourtDisplayName>בית משפט לענייני משפחה בראשון לציון</CourtDisplayName>
    <IsCaseJudgePanel>false</IsCaseJudgePanel>
    <DecisionSignatureDate>2024-10-12T19:02:11.316254+03:00</DecisionSignatureDate>
    <OpenCaseDate>2024-05-16T14:16:00+03:00</OpenCaseDate>
    <CaseFeeSum>0.000</CaseFeeSum>
    <ExternalCaseNumber>1800106114</ExternalCaseNumber>
    <DecisionTypeID>2</DecisionTypeID>
    <DecisionSignatureUserName>עידית בן-דב ג'וליאן</DecisionSignatureUserName>
    <DecisionSignatureDateHebrew>2024-10-12T19:02:11.316254+03:00</DecisionSignatureDateHebrew>
    <DecisionWriterID>038630166@GOV.IL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לוי נ' לוי</CaseName>
    <DecisionNumberInCase>4</DecisionNumberInCase>
  </dt_Decision>
  <dt_DecisionCase>
    <DecisionID>0</DecisionID>
    <CaseID>81230715</CaseID>
    <CaseJudicialPersonPresentationDS>
      <CaseJudicalPersonActive>
        <CaseID>81230715</CaseID>
        <JudicialPersonID>038630166@GOV.IL</JudicialPersonID>
        <JudicialPersonTypeID>1</JudicialPersonTypeID>
        <JudicialTypeID>1</JudicialTypeID>
        <IsChairman>false</IsChairman>
        <TreatmentStartDate>2024-05-20T10:14:32.76+03:00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מיכל לוי</FullName>
        <FirstName>מיכל</FirstName>
        <LastName>לוי</LastName>
        <PartyPropertyName/>
        <AuthenticationTypeAndNumber>ת"ז 025393653</AuthenticationTypeAndNumber>
        <RepresentatedOrRepresentativesNames>אבשלום טל</RepresentatedOrRepresentativesNames>
        <RepresentatedOrRepresentativesCount>1</RepresentatedOrRepresentativesCount>
        <InvitedBy/>
        <CaseID>81230715</CaseID>
        <CaseJudicialPersonPresentationDS>
          <CaseJudicalPersonActive>
            <CaseID>81230715</CaseID>
            <JudicialPersonID>038630166@GOV.IL</JudicialPersonID>
            <JudicialPersonTypeID>1</JudicialPersonTypeID>
            <JudicialTypeID>1</JudicialTypeID>
            <IsChairman>false</IsChairman>
            <TreatmentStartDate>2024-05-20T10:14:32.76+03:00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270208341</CasePartyID>
        <PartyTypeID>1</PartyTypeID>
        <ActivityStatusID>1</ActivityStatusID>
        <PartyAliasID>5</PartyAliasID>
        <PartyAliasName>מערער</PartyAliasName>
        <OrdinalNumber>1</OrdinalNumber>
        <LegalEntityID>1505229</LegalEntityID>
        <CaseLegalEntityID>128892888</CaseLegalEntityID>
        <AuthenticationTypeID>1</AuthenticationTypeID>
        <AuthenticationTypeName>ת"ז</AuthenticationTypeName>
        <LegalEntityNumber>025393653</LegalEntityNumber>
        <IsMainPartyType>true</IsMainPartyType>
        <CaseDisplayIdentifier>39415-05-24</CaseDisplayIdentifier>
        <CaseTypeID>10038</CaseTypeID>
        <CaseTypeName>ערעור על החלטת רשם (ע"ר)</CaseTypeName>
        <CaseName>לוי נ' לוי</CaseName>
        <FullAddress>ארלוזרוב 3/3 גבעתיים </FullAddress>
        <MotionID>0</MotionID>
        <CasePleaID>0</CasePleaID>
        <FatherName>רחמים</FatherName>
        <LinkedCaseID>0</LinkedCaseID>
        <PartyID>1</PartyID>
        <CasePartyCategoryID>2</CasePartyCategoryID>
        <LegalEntityAddressID>89306400</LegalEntityAddressID>
        <PleaTypeID>6</PleaTypeID>
        <GroupPartyAlias>מערערים</GroupPartyAlias>
        <IsConverted>false</IsConverted>
        <LegalEntityRegisteredNameID>329575</LegalEntityRegisteredNameID>
        <LegalEntityNameID>96571849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לוי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אבשלום טל</FullName>
        <FirstName>אבשלום</FirstName>
        <LastName>טל</LastName>
        <PartyPropertyName/>
        <AuthenticationTypeAndNumber>מ.ר. 43333</AuthenticationTypeAndNumber>
        <RepresentatedOrRepresentativesNames>מיכל לוי</RepresentatedOrRepresentativesNames>
        <RepresentatedOrRepresentativesCount>1</RepresentatedOrRepresentativesCount>
        <InvitedBy/>
        <CaseID>81230715</CaseID>
        <CaseJudicialPersonPresentationDS>
          <CaseJudicalPersonActive>
            <CaseID>81230715</CaseID>
            <JudicialPersonID>038630166@GOV.IL</JudicialPersonID>
            <JudicialPersonTypeID>1</JudicialPersonTypeID>
            <JudicialTypeID>1</JudicialTypeID>
            <IsChairman>false</IsChairman>
            <TreatmentStartDate>2024-05-20T10:14:32.76+03:00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270208342</CasePartyID>
        <PartyTypeID>2</PartyTypeID>
        <ActivityStatusID>1</ActivityStatusID>
        <PartyAliasID>24</PartyAliasID>
        <PartyAliasName>בא כוח מערערים</PartyAliasName>
        <OrdinalNumber>1</OrdinalNumber>
        <LegalEntityID>2114372</LegalEntityID>
        <CaseLegalEntityID>128892889</CaseLegalEntityID>
        <AuthenticationTypeID>4</AuthenticationTypeID>
        <AuthenticationTypeName>מ.ר.</AuthenticationTypeName>
        <LegalEntityNumber>43333</LegalEntityNumber>
        <IsMainPartyType>true</IsMainPartyType>
        <CaseDisplayIdentifier>39415-05-24</CaseDisplayIdentifier>
        <CaseTypeID>10038</CaseTypeID>
        <CaseTypeName>ערעור על החלטת רשם (ע"ר)</CaseTypeName>
        <CaseName>לוי נ' לוי</CaseName>
        <FullAddress>.. ראשון לציון ת.ד 2289</FullAddress>
        <MotionID>0</MotionID>
        <CasePleaID>0</CasePleaID>
        <LinkedCaseID>0</LinkedCaseID>
        <PartyID>1</PartyID>
        <CasePartyCategoryID>2</CasePartyCategoryID>
        <LegalEntityAddressID>87889221</LegalEntityAddressID>
        <PleaTypeID>6</PleaTypeID>
        <LawyerOfficeName>משרד עו"ד אבשלום טל</LawyerOfficeName>
        <LawyerOfficeID>2114373</LawyerOfficeID>
        <GroupPartyAlias/>
        <IsConverted>false</IsConverted>
        <LegalEntityNameID>1735508</LegalEntityNameID>
        <RepresentatedNamesOfAssistant/>
        <LegalEntityTypeID>4</LegalEntityTypeID>
        <IsVerdictExists>false</IsVerdictExists>
        <IsAsirAzir>false</IsAsirAzir>
        <MainAndSecSpec/>
        <IsPublicationProhibited>false</IsPublicationProhibited>
        <PublicationProhibitedFullName>אבשלום טל</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שמואל לוי</FullName>
        <FirstName>שמואל</FirstName>
        <LastName>לוי</LastName>
        <PartyPropertyName/>
        <AuthenticationTypeAndNumber>ת"ז 028942654</AuthenticationTypeAndNumber>
        <RepresentatedOrRepresentativesNames/>
        <RepresentatedOrRepresentativesCount>0</RepresentatedOrRepresentativesCount>
        <InvitedBy/>
        <CaseID>81230715</CaseID>
        <CaseJudicialPersonPresentationDS>
          <CaseJudicalPersonActive>
            <CaseID>81230715</CaseID>
            <JudicialPersonID>038630166@GOV.IL</JudicialPersonID>
            <JudicialPersonTypeID>1</JudicialPersonTypeID>
            <JudicialTypeID>1</JudicialTypeID>
            <IsChairman>false</IsChairman>
            <TreatmentStartDate>2024-05-20T10:14:32.76+03:00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270208343</CasePartyID>
        <PartyTypeID>1</PartyTypeID>
        <ActivityStatusID>1</ActivityStatusID>
        <PartyAliasID>4</PartyAliasID>
        <PartyAliasName>משיב</PartyAliasName>
        <OrdinalNumber>1</OrdinalNumber>
        <LegalEntityID>8548958</LegalEntityID>
        <CaseLegalEntityID>128892890</CaseLegalEntityID>
        <AuthenticationTypeID>1</AuthenticationTypeID>
        <AuthenticationTypeName>ת"ז</AuthenticationTypeName>
        <LegalEntityNumber>028942654</LegalEntityNumber>
        <IsMainPartyType>true</IsMainPartyType>
        <CaseDisplayIdentifier>39415-05-24</CaseDisplayIdentifier>
        <CaseTypeID>10038</CaseTypeID>
        <CaseTypeName>ערעור על החלטת רשם (ע"ר)</CaseTypeName>
        <CaseName>לוי נ' לוי</CaseName>
        <FullAddress>ס"ה 53 תל אביב -יפו </FullAddress>
        <MotionID>0</MotionID>
        <CasePleaID>0</CasePleaID>
        <FatherName>אליהו</FatherName>
        <LinkedCaseID>0</LinkedCaseID>
        <PartyID>2</PartyID>
        <CasePartyCategoryID>2</CasePartyCategoryID>
        <LegalEntityAddressID>89306401</LegalEntityAddressID>
        <PleaTypeID>6</PleaTypeID>
        <GroupPartyAlias>משיבים</GroupPartyAlias>
        <IsConverted>false</IsConverted>
        <LegalEntityRegisteredNameID>498699</LegalEntityRegisteredNameID>
        <LegalEntityNameID>96571850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שמואל לוי</PublicationProhibitedFullName>
      </CaseParties>
    </CasePartiesSelectionDS>
    <CaseName>לוי נ' לוי</CaseName>
    <CaseDisplayIdentifier>39415-05-24</CaseDisplayIdentifier>
    <CaseInterestID>148</CaseInterestID>
    <CaseTypeShortName>ע"ר</CaseTypeShortName>
  </dt_DecisionCase>
  <dt_DecisionJudgePanel>
    <JudgeID>038630166@GOV.IL</JudgeID>
    <DisplayName>עידית בן-דב ג'וליאן</DisplayName>
    <RoleName>שופט</RoleName>
    <UserTitleName>שופטת</UserTitleName>
  </dt_DecisionJudgePanel>
  <dt_LegalEntityDetails>
    <PartyID>1</PartyID>
    <PartyTypeID>1</PartyTypeID>
    <DecisionID>0</DecisionID>
    <StreetName>ארלוזרוב 3/3</StreetName>
    <CityName>גבעתיים</CityName>
    <FullName>מיכל לוי</FullName>
    <IsPublicationProhibited>false</IsPublicationProhibited>
  </dt_LegalEntityDetails>
  <dt_LegalEntityDetails>
    <Fax>03-9588544</Fax>
    <AddressDesc>ת.ד 2289</AddressDesc>
    <PartyID>1</PartyID>
    <PartyTypeID>2</PartyTypeID>
    <DecisionID>0</DecisionID>
    <StreetName>..</StreetName>
    <CityName>ראשון לציון</CityName>
    <FullName>אבשלום טל</FullName>
    <Email>talavlaw@outlook.com</Email>
    <IsPublicationProhibited>false</IsPublicationProhibited>
  </dt_LegalEntityDetails>
  <dt_LegalEntityDetails>
    <PartyID>2</PartyID>
    <PartyTypeID>1</PartyTypeID>
    <DecisionID>0</DecisionID>
    <StreetName>ס"ה 53</StreetName>
    <CityName>תל אביב -יפו</CityName>
    <FullName>שמואל לוי</FullName>
    <IsPublicationProhibited>false</IsPublicationProhibited>
  </dt_LegalEntityDetails>
  <dt_CaseJudicalPersonActive>
    <CaseJudicalPerson>שופטת עידית בן-דב ג'וליאן</CaseJudicalPerson>
  </dt_CaseJudicalPersonActive>
  <dt_Sitting/>
</DecisionTemplateDS>
</file>

<file path=customXml/itemProps1.xml><?xml version="1.0" encoding="utf-8"?>
<ds:datastoreItem xmlns:ds="http://schemas.openxmlformats.org/officeDocument/2006/customXml" ds:itemID="{0C73597A-8B98-4069-A112-BAB1707DE33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942</Words>
  <Characters>4711</Characters>
  <Application>Microsoft Office Word</Application>
  <DocSecurity>8</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2024-10-29T13:27:00Z</dcterms:created>
  <dcterms:modified xsi:type="dcterms:W3CDTF">2024-10-29T13:27:00Z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